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854FB" w14:textId="5AABEBD8" w:rsidR="006D0257" w:rsidRPr="0052548E" w:rsidRDefault="006D0257" w:rsidP="006D025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Pr>
          <w:rFonts w:ascii="Arial" w:hAnsi="Arial" w:cs="Arial"/>
          <w:b/>
          <w:bCs/>
          <w:sz w:val="28"/>
        </w:rPr>
        <w:t>0</w:t>
      </w:r>
      <w:r w:rsidR="00D763BC">
        <w:rPr>
          <w:rFonts w:ascii="Arial" w:hAnsi="Arial" w:cs="Arial"/>
          <w:b/>
          <w:bCs/>
          <w:sz w:val="28"/>
        </w:rPr>
        <w:t>9181</w:t>
      </w:r>
    </w:p>
    <w:p w14:paraId="2DFF0855" w14:textId="53A9A798" w:rsidR="00880543" w:rsidRPr="006D0257" w:rsidRDefault="006D0257" w:rsidP="00880543">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B1697C"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8D5F0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727E1" w:rsidRPr="008727E1">
        <w:rPr>
          <w:sz w:val="24"/>
          <w:lang w:val="en-US" w:eastAsia="ja-JP"/>
        </w:rPr>
        <w:t>Wide-band operation for NR-U</w:t>
      </w:r>
    </w:p>
    <w:p w14:paraId="33948831" w14:textId="0833584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B408B0">
        <w:rPr>
          <w:sz w:val="24"/>
          <w:lang w:val="en-US" w:eastAsia="ja-JP"/>
        </w:rPr>
        <w:t>2</w:t>
      </w:r>
      <w:r w:rsidR="00484F06">
        <w:rPr>
          <w:rFonts w:hint="eastAsia"/>
          <w:sz w:val="24"/>
          <w:lang w:val="en-US" w:eastAsia="ja-JP"/>
        </w:rPr>
        <w:t>.</w:t>
      </w:r>
      <w:r w:rsidR="00B408B0">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F0D1184" w14:textId="68616323" w:rsidR="00B1697C" w:rsidRPr="00B1697C" w:rsidRDefault="00B1697C" w:rsidP="00B1697C">
      <w:pPr>
        <w:spacing w:afterLines="50" w:after="120"/>
        <w:jc w:val="both"/>
        <w:rPr>
          <w:rFonts w:eastAsia="ＭＳ 明朝"/>
          <w:sz w:val="22"/>
          <w:szCs w:val="22"/>
          <w:lang w:val="en-US"/>
        </w:rPr>
      </w:pPr>
      <w:r w:rsidRPr="00B1697C">
        <w:rPr>
          <w:rFonts w:eastAsia="ＭＳ 明朝" w:hint="eastAsia"/>
          <w:sz w:val="22"/>
          <w:szCs w:val="22"/>
          <w:lang w:val="en-US"/>
        </w:rPr>
        <w:t>At the RAN</w:t>
      </w:r>
      <w:r w:rsidRPr="00B1697C">
        <w:rPr>
          <w:rFonts w:eastAsia="ＭＳ 明朝"/>
          <w:sz w:val="22"/>
          <w:szCs w:val="22"/>
          <w:lang w:val="en-US"/>
        </w:rPr>
        <w:t xml:space="preserve">1 </w:t>
      </w:r>
      <w:r w:rsidR="004A59EE">
        <w:rPr>
          <w:rFonts w:eastAsia="ＭＳ 明朝" w:hint="eastAsia"/>
          <w:sz w:val="22"/>
          <w:szCs w:val="22"/>
          <w:lang w:val="en-US"/>
        </w:rPr>
        <w:t>#</w:t>
      </w:r>
      <w:r w:rsidR="004A59EE">
        <w:rPr>
          <w:rFonts w:eastAsia="ＭＳ 明朝"/>
          <w:sz w:val="22"/>
          <w:szCs w:val="22"/>
          <w:lang w:val="en-US"/>
        </w:rPr>
        <w:t>9</w:t>
      </w:r>
      <w:r w:rsidR="006D0257">
        <w:rPr>
          <w:rFonts w:eastAsia="ＭＳ 明朝" w:hint="eastAsia"/>
          <w:sz w:val="22"/>
          <w:szCs w:val="22"/>
          <w:lang w:val="en-US"/>
        </w:rPr>
        <w:t>7</w:t>
      </w:r>
      <w:r w:rsidRPr="00B1697C">
        <w:rPr>
          <w:rFonts w:eastAsia="ＭＳ 明朝"/>
          <w:sz w:val="22"/>
          <w:szCs w:val="22"/>
          <w:lang w:val="en-US"/>
        </w:rPr>
        <w:t xml:space="preserve"> </w:t>
      </w:r>
      <w:r w:rsidRPr="00B1697C">
        <w:rPr>
          <w:rFonts w:eastAsia="ＭＳ 明朝" w:hint="eastAsia"/>
          <w:sz w:val="22"/>
          <w:szCs w:val="22"/>
          <w:lang w:val="en-US"/>
        </w:rPr>
        <w:t xml:space="preserve">meeting, </w:t>
      </w:r>
      <w:r>
        <w:rPr>
          <w:rFonts w:eastAsia="ＭＳ 明朝"/>
          <w:sz w:val="22"/>
          <w:szCs w:val="22"/>
          <w:lang w:val="en-US"/>
        </w:rPr>
        <w:t>wide-band operation for NR-U was</w:t>
      </w:r>
      <w:r w:rsidRPr="00B1697C">
        <w:rPr>
          <w:rFonts w:eastAsia="ＭＳ 明朝"/>
          <w:sz w:val="22"/>
          <w:szCs w:val="22"/>
          <w:lang w:val="en-US"/>
        </w:rPr>
        <w:t xml:space="preserve"> discussed and following agreements were made</w:t>
      </w:r>
      <w:r w:rsidRPr="00B1697C">
        <w:rPr>
          <w:rFonts w:eastAsia="ＭＳ 明朝" w:hint="eastAsia"/>
          <w:sz w:val="22"/>
          <w:szCs w:val="22"/>
          <w:lang w:val="en-US"/>
        </w:rPr>
        <w:t xml:space="preserve"> [1].</w:t>
      </w:r>
      <w:r w:rsidRPr="00B1697C">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25299638" w14:textId="77777777" w:rsidR="006D0257" w:rsidRPr="006D0257" w:rsidRDefault="006D0257" w:rsidP="006D0257">
            <w:pPr>
              <w:rPr>
                <w:rFonts w:eastAsia="Batang"/>
                <w:sz w:val="16"/>
                <w:szCs w:val="16"/>
              </w:rPr>
            </w:pPr>
            <w:r w:rsidRPr="006D0257">
              <w:rPr>
                <w:sz w:val="21"/>
                <w:szCs w:val="16"/>
                <w:highlight w:val="green"/>
              </w:rPr>
              <w:t>Agreement:</w:t>
            </w:r>
          </w:p>
          <w:p w14:paraId="477498D1" w14:textId="77777777" w:rsidR="006D0257" w:rsidRPr="006D0257" w:rsidRDefault="006D0257" w:rsidP="006D0257">
            <w:pPr>
              <w:pStyle w:val="afc"/>
              <w:spacing w:after="160" w:line="252" w:lineRule="auto"/>
              <w:ind w:leftChars="0" w:left="0"/>
              <w:contextualSpacing/>
              <w:rPr>
                <w:rFonts w:ascii="Calibri" w:hAnsi="Calibri"/>
                <w:sz w:val="21"/>
                <w:szCs w:val="16"/>
                <w:lang w:val="en-US"/>
              </w:rPr>
            </w:pPr>
            <w:r w:rsidRPr="006D0257">
              <w:rPr>
                <w:sz w:val="21"/>
                <w:szCs w:val="16"/>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5F1765C9" w14:textId="77777777" w:rsidR="006D0257" w:rsidRPr="006D0257" w:rsidRDefault="006D0257" w:rsidP="006D0257">
            <w:pPr>
              <w:pStyle w:val="afc"/>
              <w:numPr>
                <w:ilvl w:val="0"/>
                <w:numId w:val="31"/>
              </w:numPr>
              <w:spacing w:after="160" w:line="252" w:lineRule="auto"/>
              <w:ind w:leftChars="0" w:left="360"/>
              <w:contextualSpacing/>
              <w:rPr>
                <w:rFonts w:ascii="Calibri" w:hAnsi="Calibri"/>
                <w:sz w:val="16"/>
                <w:szCs w:val="16"/>
                <w:lang w:eastAsia="zh-CN"/>
              </w:rPr>
            </w:pPr>
            <w:r w:rsidRPr="006D0257">
              <w:rPr>
                <w:sz w:val="21"/>
                <w:szCs w:val="16"/>
                <w:lang w:eastAsia="ko-KR"/>
              </w:rPr>
              <w:t>FFS: Signalling details of the indication, including e.g., the time domain validity of the indication</w:t>
            </w:r>
          </w:p>
          <w:p w14:paraId="1FA8C463" w14:textId="77777777" w:rsidR="006D0257" w:rsidRPr="006D0257" w:rsidRDefault="006D0257" w:rsidP="006D0257">
            <w:pPr>
              <w:pStyle w:val="afc"/>
              <w:numPr>
                <w:ilvl w:val="0"/>
                <w:numId w:val="31"/>
              </w:numPr>
              <w:spacing w:after="160" w:line="252" w:lineRule="auto"/>
              <w:ind w:leftChars="0" w:left="360"/>
              <w:contextualSpacing/>
              <w:rPr>
                <w:rFonts w:ascii="Times" w:hAnsi="Times"/>
                <w:sz w:val="21"/>
                <w:szCs w:val="16"/>
                <w:lang w:eastAsia="ko-KR"/>
              </w:rPr>
            </w:pPr>
            <w:r w:rsidRPr="006D0257">
              <w:rPr>
                <w:sz w:val="21"/>
                <w:szCs w:val="16"/>
                <w:lang w:eastAsia="ko-KR"/>
              </w:rPr>
              <w:t>FFS: Whether and how to support the mechanism at the beginning of DL transmission burst</w:t>
            </w:r>
          </w:p>
          <w:p w14:paraId="2882C0D0" w14:textId="77777777" w:rsidR="006D0257" w:rsidRPr="006D0257" w:rsidRDefault="006D0257" w:rsidP="006D0257">
            <w:pPr>
              <w:pStyle w:val="afc"/>
              <w:numPr>
                <w:ilvl w:val="0"/>
                <w:numId w:val="31"/>
              </w:numPr>
              <w:spacing w:after="160" w:line="252" w:lineRule="auto"/>
              <w:ind w:leftChars="0" w:left="360"/>
              <w:contextualSpacing/>
              <w:rPr>
                <w:sz w:val="21"/>
                <w:szCs w:val="16"/>
                <w:lang w:eastAsia="ko-KR"/>
              </w:rPr>
            </w:pPr>
            <w:r w:rsidRPr="006D0257">
              <w:rPr>
                <w:sz w:val="21"/>
                <w:szCs w:val="16"/>
                <w:lang w:eastAsia="ko-KR"/>
              </w:rPr>
              <w:t>FFS: Whether and how to handle the case when GC-PDCCH is not configured or not received by the UE</w:t>
            </w:r>
          </w:p>
          <w:p w14:paraId="3B2BC3E7" w14:textId="77777777" w:rsidR="006D0257" w:rsidRPr="006D0257" w:rsidRDefault="006D0257" w:rsidP="006D0257">
            <w:pPr>
              <w:rPr>
                <w:sz w:val="21"/>
                <w:szCs w:val="16"/>
                <w:u w:val="single"/>
                <w:lang w:eastAsia="en-US"/>
              </w:rPr>
            </w:pPr>
            <w:r w:rsidRPr="006D0257">
              <w:rPr>
                <w:sz w:val="21"/>
                <w:szCs w:val="16"/>
                <w:u w:val="single"/>
              </w:rPr>
              <w:t>Conclusion:</w:t>
            </w:r>
          </w:p>
          <w:p w14:paraId="607EE953" w14:textId="190754AE" w:rsidR="00B1697C" w:rsidRPr="00E07F51" w:rsidRDefault="006D0257" w:rsidP="006D0257">
            <w:pPr>
              <w:rPr>
                <w:rFonts w:eastAsia="游明朝"/>
                <w:sz w:val="20"/>
              </w:rPr>
            </w:pPr>
            <w:r w:rsidRPr="006D0257">
              <w:rPr>
                <w:sz w:val="21"/>
                <w:szCs w:val="16"/>
                <w:lang w:eastAsia="ko-KR"/>
              </w:rPr>
              <w:t>A UE can receive a PDSCH scheduled within an LBT bandwidth or over multiple LBT bandwidths as per Rel-15 and current agreements in Rel-16.</w:t>
            </w:r>
          </w:p>
        </w:tc>
      </w:tr>
    </w:tbl>
    <w:p w14:paraId="756E9762" w14:textId="0F4C1569" w:rsidR="00764120" w:rsidRDefault="00764120" w:rsidP="00956F10">
      <w:pPr>
        <w:spacing w:afterLines="50" w:after="120"/>
        <w:jc w:val="both"/>
        <w:rPr>
          <w:rFonts w:eastAsia="ＭＳ 明朝"/>
          <w:sz w:val="22"/>
          <w:szCs w:val="22"/>
          <w:lang w:val="en-US"/>
        </w:rPr>
      </w:pPr>
    </w:p>
    <w:p w14:paraId="44A25296" w14:textId="717DD257" w:rsidR="006D0257" w:rsidRDefault="006D0257" w:rsidP="006D0257">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“Wideband operations</w:t>
      </w:r>
      <w:r>
        <w:rPr>
          <w:rFonts w:eastAsia="ＭＳ 明朝" w:hint="eastAsia"/>
          <w:sz w:val="22"/>
          <w:szCs w:val="22"/>
          <w:lang w:val="en-US"/>
        </w:rPr>
        <w:t xml:space="preserve"> </w:t>
      </w:r>
      <w:r>
        <w:rPr>
          <w:rFonts w:eastAsia="ＭＳ 明朝"/>
          <w:sz w:val="22"/>
          <w:szCs w:val="22"/>
          <w:lang w:val="en-US"/>
        </w:rPr>
        <w:t>for NR-U” agenda was endorsed [2].</w:t>
      </w:r>
    </w:p>
    <w:tbl>
      <w:tblPr>
        <w:tblStyle w:val="afa"/>
        <w:tblW w:w="0" w:type="auto"/>
        <w:tblLook w:val="04A0" w:firstRow="1" w:lastRow="0" w:firstColumn="1" w:lastColumn="0" w:noHBand="0" w:noVBand="1"/>
      </w:tblPr>
      <w:tblGrid>
        <w:gridCol w:w="9962"/>
      </w:tblGrid>
      <w:tr w:rsidR="006D0257" w14:paraId="3CA09B73" w14:textId="77777777" w:rsidTr="001F2474">
        <w:tc>
          <w:tcPr>
            <w:tcW w:w="9962" w:type="dxa"/>
          </w:tcPr>
          <w:p w14:paraId="3A1F8A97" w14:textId="77777777" w:rsidR="006D0257" w:rsidRPr="006D0257" w:rsidRDefault="006D0257" w:rsidP="006D0257">
            <w:pPr>
              <w:rPr>
                <w:b/>
                <w:color w:val="0000FF"/>
                <w:sz w:val="21"/>
                <w:szCs w:val="16"/>
                <w:lang w:val="en-US"/>
              </w:rPr>
            </w:pPr>
            <w:r w:rsidRPr="006D0257">
              <w:rPr>
                <w:b/>
                <w:color w:val="0000FF"/>
                <w:sz w:val="21"/>
                <w:szCs w:val="16"/>
                <w:lang w:val="en-US"/>
              </w:rPr>
              <w:t>7.2.2.2.5 Wideband operations</w:t>
            </w:r>
          </w:p>
          <w:p w14:paraId="671484B7" w14:textId="77777777" w:rsidR="006D0257" w:rsidRPr="006D0257" w:rsidRDefault="006D0257" w:rsidP="006D0257">
            <w:pPr>
              <w:rPr>
                <w:sz w:val="21"/>
                <w:szCs w:val="16"/>
                <w:lang w:val="en-US"/>
              </w:rPr>
            </w:pPr>
            <w:r w:rsidRPr="006D0257">
              <w:rPr>
                <w:b/>
                <w:bCs/>
                <w:sz w:val="21"/>
                <w:szCs w:val="16"/>
                <w:lang w:val="en-US"/>
              </w:rPr>
              <w:t>Essential</w:t>
            </w:r>
          </w:p>
          <w:p w14:paraId="193453B9" w14:textId="77777777" w:rsidR="006D0257" w:rsidRPr="006D0257" w:rsidRDefault="006D0257" w:rsidP="006D0257">
            <w:pPr>
              <w:numPr>
                <w:ilvl w:val="0"/>
                <w:numId w:val="33"/>
              </w:numPr>
              <w:rPr>
                <w:sz w:val="21"/>
                <w:szCs w:val="16"/>
                <w:lang w:val="en-US"/>
              </w:rPr>
            </w:pPr>
            <w:r w:rsidRPr="006D0257">
              <w:rPr>
                <w:sz w:val="21"/>
                <w:szCs w:val="16"/>
                <w:lang w:val="en-US"/>
              </w:rPr>
              <w:t>Coreset for wideband (multiple coresets with one or more per LBT subband or multi-cluster coreset with one cluster per subband)</w:t>
            </w:r>
          </w:p>
          <w:p w14:paraId="077CA1A0" w14:textId="77777777" w:rsidR="006D0257" w:rsidRPr="006D0257" w:rsidRDefault="006D0257" w:rsidP="006D0257">
            <w:pPr>
              <w:rPr>
                <w:sz w:val="21"/>
                <w:szCs w:val="16"/>
                <w:lang w:val="en-US"/>
              </w:rPr>
            </w:pPr>
            <w:r w:rsidRPr="006D0257">
              <w:rPr>
                <w:b/>
                <w:bCs/>
                <w:sz w:val="21"/>
                <w:szCs w:val="16"/>
                <w:lang w:val="en-US"/>
              </w:rPr>
              <w:t>Optimizations</w:t>
            </w:r>
          </w:p>
          <w:p w14:paraId="066DC80F" w14:textId="53511A31" w:rsidR="006D0257" w:rsidRPr="00AC2B00" w:rsidRDefault="006D0257" w:rsidP="006D0257">
            <w:pPr>
              <w:numPr>
                <w:ilvl w:val="0"/>
                <w:numId w:val="33"/>
              </w:numPr>
              <w:rPr>
                <w:sz w:val="21"/>
                <w:szCs w:val="16"/>
                <w:lang w:val="en-US"/>
              </w:rPr>
            </w:pPr>
            <w:r w:rsidRPr="006D0257">
              <w:rPr>
                <w:sz w:val="21"/>
                <w:szCs w:val="16"/>
                <w:lang w:val="en-US"/>
              </w:rPr>
              <w:t>If PUSCH Alt 2 is also supported</w:t>
            </w:r>
          </w:p>
        </w:tc>
      </w:tr>
    </w:tbl>
    <w:p w14:paraId="79FF0F6E" w14:textId="77777777" w:rsidR="006D0257" w:rsidRDefault="006D0257" w:rsidP="00956F10">
      <w:pPr>
        <w:spacing w:afterLines="50" w:after="120"/>
        <w:jc w:val="both"/>
        <w:rPr>
          <w:rFonts w:eastAsia="ＭＳ 明朝"/>
          <w:sz w:val="22"/>
          <w:szCs w:val="22"/>
          <w:lang w:val="en-US"/>
        </w:rPr>
      </w:pPr>
    </w:p>
    <w:p w14:paraId="631A6163" w14:textId="1F5EFFC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B1697C">
        <w:rPr>
          <w:rFonts w:eastAsia="ＭＳ 明朝"/>
          <w:sz w:val="22"/>
          <w:szCs w:val="22"/>
          <w:lang w:val="en-US"/>
        </w:rPr>
        <w:t xml:space="preserve">further </w:t>
      </w:r>
      <w:r w:rsidR="00764120">
        <w:rPr>
          <w:rFonts w:eastAsia="ＭＳ 明朝"/>
          <w:sz w:val="22"/>
          <w:szCs w:val="22"/>
          <w:lang w:val="en-US"/>
        </w:rPr>
        <w:t xml:space="preserve">on the </w:t>
      </w:r>
      <w:r w:rsidR="009E2267">
        <w:rPr>
          <w:rFonts w:eastAsia="ＭＳ 明朝"/>
          <w:sz w:val="22"/>
          <w:szCs w:val="22"/>
          <w:lang w:val="en-US"/>
        </w:rPr>
        <w:t>wideband operation</w:t>
      </w:r>
      <w:r w:rsidR="00484F06">
        <w:rPr>
          <w:rFonts w:eastAsia="ＭＳ 明朝"/>
          <w:sz w:val="22"/>
          <w:szCs w:val="22"/>
          <w:lang w:val="en-US"/>
        </w:rPr>
        <w:t xml:space="preserve"> for NR-U</w:t>
      </w:r>
      <w:r w:rsidR="009E2267">
        <w:rPr>
          <w:rFonts w:eastAsia="ＭＳ 明朝"/>
          <w:sz w:val="22"/>
          <w:szCs w:val="22"/>
          <w:lang w:val="en-US"/>
        </w:rPr>
        <w:t>.</w:t>
      </w:r>
      <w:r w:rsidR="001012F3" w:rsidRPr="001012F3">
        <w:rPr>
          <w:rFonts w:eastAsia="ＭＳ 明朝" w:hint="eastAsia"/>
          <w:sz w:val="22"/>
          <w:szCs w:val="22"/>
          <w:lang w:val="en-US"/>
        </w:rPr>
        <w:t xml:space="preserve"> </w:t>
      </w:r>
    </w:p>
    <w:p w14:paraId="7BE7EC97" w14:textId="60B0DA97" w:rsidR="00BF6AB9" w:rsidRPr="00BF6AB9" w:rsidRDefault="00BF6AB9" w:rsidP="00BF6AB9">
      <w:pPr>
        <w:pStyle w:val="1"/>
        <w:numPr>
          <w:ilvl w:val="0"/>
          <w:numId w:val="6"/>
        </w:numPr>
        <w:spacing w:before="180" w:after="120"/>
        <w:rPr>
          <w:rStyle w:val="B10"/>
          <w:b/>
          <w:lang w:val="en-US"/>
        </w:rPr>
      </w:pPr>
      <w:r w:rsidRPr="00BF6AB9">
        <w:rPr>
          <w:rStyle w:val="B10"/>
          <w:b/>
          <w:lang w:val="en-US"/>
        </w:rPr>
        <w:t>UL wide</w:t>
      </w:r>
      <w:r w:rsidR="006E38B6">
        <w:rPr>
          <w:rStyle w:val="B10"/>
          <w:b/>
          <w:lang w:val="en-US"/>
        </w:rPr>
        <w:t>-</w:t>
      </w:r>
      <w:r w:rsidRPr="00BF6AB9">
        <w:rPr>
          <w:rStyle w:val="B10"/>
          <w:b/>
          <w:lang w:val="en-US"/>
        </w:rPr>
        <w:t>band operation in NR-U</w:t>
      </w:r>
    </w:p>
    <w:p w14:paraId="2EDE0D9F" w14:textId="151CD97E" w:rsidR="000835BC" w:rsidRPr="00E318DE" w:rsidRDefault="006E38B6" w:rsidP="00BF6AB9">
      <w:pPr>
        <w:spacing w:afterLines="50" w:after="120"/>
        <w:rPr>
          <w:rFonts w:eastAsia="ＭＳ 明朝"/>
          <w:sz w:val="22"/>
          <w:szCs w:val="22"/>
          <w:lang w:val="en-US"/>
        </w:rPr>
      </w:pPr>
      <w:r w:rsidRPr="00E318DE">
        <w:rPr>
          <w:rFonts w:eastAsia="ＭＳ 明朝" w:hint="eastAsia"/>
          <w:sz w:val="22"/>
          <w:szCs w:val="22"/>
          <w:lang w:val="en-US"/>
        </w:rPr>
        <w:t>A</w:t>
      </w:r>
      <w:r w:rsidR="00F07F38">
        <w:rPr>
          <w:rFonts w:eastAsia="ＭＳ 明朝"/>
          <w:sz w:val="22"/>
          <w:szCs w:val="22"/>
          <w:lang w:val="en-US"/>
        </w:rPr>
        <w:t>t the RAN1#96bis</w:t>
      </w:r>
      <w:r w:rsidRPr="00E318DE">
        <w:rPr>
          <w:rFonts w:eastAsia="ＭＳ 明朝"/>
          <w:sz w:val="22"/>
          <w:szCs w:val="22"/>
          <w:lang w:val="en-US"/>
        </w:rPr>
        <w:t xml:space="preserve"> meeting, RAN1 made an agreement </w:t>
      </w:r>
      <w:r w:rsidR="000835BC" w:rsidRPr="00E318DE">
        <w:rPr>
          <w:rFonts w:eastAsia="ＭＳ 明朝"/>
          <w:sz w:val="22"/>
          <w:szCs w:val="22"/>
          <w:lang w:val="en-US"/>
        </w:rPr>
        <w:t xml:space="preserve">which has following alternatives </w:t>
      </w:r>
      <w:r w:rsidR="00081714" w:rsidRPr="00E318DE">
        <w:rPr>
          <w:rFonts w:eastAsia="ＭＳ 明朝"/>
          <w:sz w:val="22"/>
          <w:szCs w:val="22"/>
          <w:lang w:val="en-US"/>
        </w:rPr>
        <w:t>relat</w:t>
      </w:r>
      <w:r w:rsidR="00081714">
        <w:rPr>
          <w:rFonts w:eastAsia="ＭＳ 明朝"/>
          <w:sz w:val="22"/>
          <w:szCs w:val="22"/>
          <w:lang w:val="en-US"/>
        </w:rPr>
        <w:t>ed to</w:t>
      </w:r>
      <w:r w:rsidR="00081714" w:rsidRPr="00E318DE">
        <w:rPr>
          <w:rFonts w:eastAsia="ＭＳ 明朝"/>
          <w:sz w:val="22"/>
          <w:szCs w:val="22"/>
          <w:lang w:val="en-US"/>
        </w:rPr>
        <w:t xml:space="preserve"> </w:t>
      </w:r>
      <w:r w:rsidRPr="00E318DE">
        <w:rPr>
          <w:rFonts w:eastAsia="ＭＳ 明朝"/>
          <w:sz w:val="22"/>
          <w:szCs w:val="22"/>
          <w:lang w:val="en-US"/>
        </w:rPr>
        <w:t>UL wide-band operation</w:t>
      </w:r>
      <w:r w:rsidR="0014383A" w:rsidRPr="00E318DE">
        <w:rPr>
          <w:rFonts w:eastAsia="ＭＳ 明朝"/>
          <w:sz w:val="22"/>
          <w:szCs w:val="22"/>
          <w:lang w:val="en-US"/>
        </w:rPr>
        <w:t xml:space="preserve"> and at least support Alt. 1</w:t>
      </w:r>
      <w:r w:rsidRPr="00E318DE">
        <w:rPr>
          <w:rFonts w:eastAsia="ＭＳ 明朝"/>
          <w:sz w:val="22"/>
          <w:szCs w:val="22"/>
          <w:lang w:val="en-US"/>
        </w:rPr>
        <w:t>.</w:t>
      </w:r>
    </w:p>
    <w:p w14:paraId="6E5FC164" w14:textId="5ABFC25F" w:rsidR="000835BC" w:rsidRPr="00E318DE" w:rsidRDefault="000835BC" w:rsidP="000835BC">
      <w:pPr>
        <w:numPr>
          <w:ilvl w:val="0"/>
          <w:numId w:val="24"/>
        </w:numPr>
        <w:snapToGrid w:val="0"/>
        <w:rPr>
          <w:sz w:val="22"/>
          <w:szCs w:val="22"/>
          <w:lang w:val="en-US" w:eastAsia="x-none"/>
        </w:rPr>
      </w:pPr>
      <w:r w:rsidRPr="00E318DE">
        <w:rPr>
          <w:sz w:val="22"/>
          <w:szCs w:val="22"/>
          <w:lang w:eastAsia="x-none"/>
        </w:rPr>
        <w:t>Alt. 1: UE transmits the PUSCH only if CCA is successful at UE in all LBT bandwidths of the scheduled PUSCH.</w:t>
      </w:r>
    </w:p>
    <w:p w14:paraId="6A8B0CB7" w14:textId="77777777" w:rsidR="000835BC" w:rsidRPr="00E318DE" w:rsidRDefault="000835BC" w:rsidP="000835BC">
      <w:pPr>
        <w:numPr>
          <w:ilvl w:val="0"/>
          <w:numId w:val="23"/>
        </w:numPr>
        <w:snapToGrid w:val="0"/>
        <w:rPr>
          <w:sz w:val="22"/>
          <w:szCs w:val="22"/>
          <w:lang w:val="en-US" w:eastAsia="x-none"/>
        </w:rPr>
      </w:pPr>
      <w:r w:rsidRPr="00E318DE">
        <w:rPr>
          <w:sz w:val="22"/>
          <w:szCs w:val="22"/>
          <w:lang w:eastAsia="x-none"/>
        </w:rPr>
        <w:t xml:space="preserve">Alt. 2: </w:t>
      </w:r>
      <w:r w:rsidRPr="00E318DE">
        <w:rPr>
          <w:rFonts w:hint="eastAsia"/>
          <w:bCs/>
          <w:sz w:val="22"/>
          <w:szCs w:val="22"/>
          <w:lang w:eastAsia="x-none"/>
        </w:rPr>
        <w:t xml:space="preserve">UE transmits </w:t>
      </w:r>
      <w:r w:rsidRPr="00E318DE">
        <w:rPr>
          <w:bCs/>
          <w:sz w:val="22"/>
          <w:szCs w:val="22"/>
          <w:lang w:eastAsia="x-none"/>
        </w:rPr>
        <w:t xml:space="preserve">the PUSCH in all or a subset of LBT bandwidths of the scheduled PUSCH for which CCA is successful at the UE. </w:t>
      </w:r>
    </w:p>
    <w:p w14:paraId="7373BE31" w14:textId="77777777" w:rsidR="000835BC" w:rsidRPr="00E318DE" w:rsidRDefault="000835BC" w:rsidP="000835BC">
      <w:pPr>
        <w:numPr>
          <w:ilvl w:val="1"/>
          <w:numId w:val="23"/>
        </w:numPr>
        <w:snapToGrid w:val="0"/>
        <w:rPr>
          <w:sz w:val="22"/>
          <w:szCs w:val="22"/>
          <w:lang w:val="en-US" w:eastAsia="x-none"/>
        </w:rPr>
      </w:pPr>
      <w:r w:rsidRPr="00E318DE">
        <w:rPr>
          <w:sz w:val="22"/>
          <w:szCs w:val="22"/>
          <w:lang w:val="en-US" w:eastAsia="x-none"/>
        </w:rPr>
        <w:t>Decision on whether this alternative is supported will depend on feedback from RAN4</w:t>
      </w:r>
    </w:p>
    <w:p w14:paraId="3A54455A" w14:textId="77777777" w:rsidR="000835BC" w:rsidRPr="00E318DE" w:rsidRDefault="000835BC" w:rsidP="000835BC">
      <w:pPr>
        <w:numPr>
          <w:ilvl w:val="1"/>
          <w:numId w:val="23"/>
        </w:numPr>
        <w:snapToGrid w:val="0"/>
        <w:rPr>
          <w:sz w:val="22"/>
          <w:szCs w:val="22"/>
          <w:lang w:val="en-US" w:eastAsia="x-none"/>
        </w:rPr>
      </w:pPr>
      <w:r w:rsidRPr="00E318DE">
        <w:rPr>
          <w:rFonts w:hint="eastAsia"/>
          <w:bCs/>
          <w:sz w:val="22"/>
          <w:szCs w:val="22"/>
          <w:lang w:val="en-US" w:eastAsia="x-none"/>
        </w:rPr>
        <w:t>F</w:t>
      </w:r>
      <w:r w:rsidRPr="00E318DE">
        <w:rPr>
          <w:bCs/>
          <w:sz w:val="22"/>
          <w:szCs w:val="22"/>
          <w:lang w:val="en-US" w:eastAsia="x-none"/>
        </w:rPr>
        <w:t>FS on restrictions to the subset of LBT bandwidths, e.g., only contiguous LBT bandwidths allowed, based on feedback from RAN4</w:t>
      </w:r>
    </w:p>
    <w:p w14:paraId="35E34F1D" w14:textId="77777777" w:rsidR="00E267FA" w:rsidRPr="00E318DE" w:rsidRDefault="00E267FA" w:rsidP="00BF6AB9">
      <w:pPr>
        <w:spacing w:afterLines="50" w:after="120"/>
        <w:rPr>
          <w:rFonts w:eastAsia="ＭＳ 明朝"/>
          <w:sz w:val="22"/>
          <w:szCs w:val="22"/>
          <w:lang w:val="en-US"/>
        </w:rPr>
      </w:pPr>
    </w:p>
    <w:p w14:paraId="17D98631" w14:textId="14030001" w:rsidR="00BF6AB9" w:rsidRPr="00E318DE" w:rsidRDefault="00BF6AB9" w:rsidP="00BF6AB9">
      <w:pPr>
        <w:spacing w:afterLines="50" w:after="120"/>
        <w:rPr>
          <w:rFonts w:eastAsia="ＭＳ 明朝"/>
          <w:sz w:val="22"/>
          <w:szCs w:val="22"/>
          <w:lang w:val="en-US"/>
        </w:rPr>
      </w:pPr>
      <w:r w:rsidRPr="00E318DE">
        <w:rPr>
          <w:rFonts w:eastAsia="ＭＳ 明朝" w:hint="eastAsia"/>
          <w:sz w:val="22"/>
          <w:szCs w:val="22"/>
          <w:lang w:val="en-US"/>
        </w:rPr>
        <w:t>If partial interlace allocation within a wide UL</w:t>
      </w:r>
      <w:r w:rsidRPr="00E318DE">
        <w:rPr>
          <w:rFonts w:eastAsia="ＭＳ 明朝"/>
          <w:sz w:val="22"/>
          <w:szCs w:val="22"/>
          <w:lang w:val="en-US"/>
        </w:rPr>
        <w:t xml:space="preserve"> active</w:t>
      </w:r>
      <w:r w:rsidRPr="00E318DE">
        <w:rPr>
          <w:rFonts w:eastAsia="ＭＳ 明朝" w:hint="eastAsia"/>
          <w:sz w:val="22"/>
          <w:szCs w:val="22"/>
          <w:lang w:val="en-US"/>
        </w:rPr>
        <w:t xml:space="preserve"> BWP</w:t>
      </w:r>
      <w:r w:rsidRPr="00E318DE">
        <w:rPr>
          <w:rFonts w:eastAsia="ＭＳ 明朝"/>
          <w:sz w:val="22"/>
          <w:szCs w:val="22"/>
          <w:lang w:val="en-US"/>
        </w:rPr>
        <w:t xml:space="preserve"> is supported, UL traffic i.e., multiple UL transmissions from different UEs can be distributed across LBT sub-bands within the wide BWP. Assuming such operation, the necessity of wideband operation with </w:t>
      </w:r>
      <w:r w:rsidR="00E267FA" w:rsidRPr="00E318DE">
        <w:rPr>
          <w:rFonts w:eastAsia="ＭＳ 明朝"/>
          <w:sz w:val="22"/>
          <w:szCs w:val="22"/>
          <w:lang w:val="en-US"/>
        </w:rPr>
        <w:t>Alt. 2</w:t>
      </w:r>
      <w:r w:rsidRPr="00E318DE">
        <w:rPr>
          <w:rFonts w:eastAsia="ＭＳ 明朝"/>
          <w:sz w:val="22"/>
          <w:szCs w:val="22"/>
          <w:lang w:val="en-US"/>
        </w:rPr>
        <w:t xml:space="preserve"> for UL would be smaller than that for DL. Therefore, we propose to </w:t>
      </w:r>
      <w:r w:rsidR="00E4579B" w:rsidRPr="00E318DE">
        <w:rPr>
          <w:rFonts w:eastAsia="ＭＳ 明朝"/>
          <w:sz w:val="22"/>
          <w:szCs w:val="22"/>
          <w:lang w:val="en-US"/>
        </w:rPr>
        <w:t>de</w:t>
      </w:r>
      <w:r w:rsidR="00007B5C" w:rsidRPr="00E318DE">
        <w:rPr>
          <w:rFonts w:eastAsia="ＭＳ 明朝"/>
          <w:sz w:val="22"/>
          <w:szCs w:val="22"/>
          <w:lang w:val="en-US"/>
        </w:rPr>
        <w:t xml:space="preserve">prioritize </w:t>
      </w:r>
      <w:r w:rsidR="00081714">
        <w:rPr>
          <w:rFonts w:eastAsia="ＭＳ 明朝"/>
          <w:sz w:val="22"/>
          <w:szCs w:val="22"/>
          <w:lang w:val="en-US"/>
        </w:rPr>
        <w:t xml:space="preserve">support of </w:t>
      </w:r>
      <w:r w:rsidR="00007B5C" w:rsidRPr="00E318DE">
        <w:rPr>
          <w:rFonts w:eastAsia="ＭＳ 明朝"/>
          <w:sz w:val="22"/>
          <w:szCs w:val="22"/>
          <w:lang w:val="en-US"/>
        </w:rPr>
        <w:t>Alt. 2</w:t>
      </w:r>
      <w:r w:rsidRPr="00E318DE">
        <w:rPr>
          <w:rFonts w:eastAsia="ＭＳ 明朝"/>
          <w:sz w:val="22"/>
          <w:szCs w:val="22"/>
          <w:lang w:val="en-US"/>
        </w:rPr>
        <w:t xml:space="preserve"> for UL wideband operation</w:t>
      </w:r>
      <w:r w:rsidR="00007B5C" w:rsidRPr="00E318DE">
        <w:rPr>
          <w:rFonts w:eastAsia="ＭＳ 明朝"/>
          <w:sz w:val="22"/>
          <w:szCs w:val="22"/>
          <w:lang w:val="en-US"/>
        </w:rPr>
        <w:t xml:space="preserve"> </w:t>
      </w:r>
      <w:r w:rsidR="00081714">
        <w:rPr>
          <w:rFonts w:eastAsia="ＭＳ 明朝"/>
          <w:sz w:val="22"/>
          <w:szCs w:val="22"/>
          <w:lang w:val="en-US"/>
        </w:rPr>
        <w:t xml:space="preserve">in Rel-16 </w:t>
      </w:r>
      <w:r w:rsidR="00007B5C" w:rsidRPr="00E318DE">
        <w:rPr>
          <w:rFonts w:eastAsia="ＭＳ 明朝"/>
          <w:sz w:val="22"/>
          <w:szCs w:val="22"/>
          <w:lang w:val="en-US"/>
        </w:rPr>
        <w:t xml:space="preserve">regardless of RAN 4 reactions </w:t>
      </w:r>
      <w:r w:rsidR="00081714" w:rsidRPr="00E318DE">
        <w:rPr>
          <w:rFonts w:eastAsia="ＭＳ 明朝"/>
          <w:sz w:val="22"/>
          <w:szCs w:val="22"/>
          <w:lang w:val="en-US"/>
        </w:rPr>
        <w:t>r</w:t>
      </w:r>
      <w:r w:rsidR="00081714">
        <w:rPr>
          <w:rFonts w:eastAsia="ＭＳ 明朝"/>
          <w:sz w:val="22"/>
          <w:szCs w:val="22"/>
          <w:lang w:val="en-US"/>
        </w:rPr>
        <w:t>egarding</w:t>
      </w:r>
      <w:r w:rsidR="00081714" w:rsidRPr="00E318DE">
        <w:rPr>
          <w:rFonts w:eastAsia="ＭＳ 明朝"/>
          <w:sz w:val="22"/>
          <w:szCs w:val="22"/>
          <w:lang w:val="en-US"/>
        </w:rPr>
        <w:t xml:space="preserve"> </w:t>
      </w:r>
      <w:r w:rsidR="00007B5C" w:rsidRPr="00E318DE">
        <w:rPr>
          <w:rFonts w:eastAsia="ＭＳ 明朝"/>
          <w:sz w:val="22"/>
          <w:szCs w:val="22"/>
          <w:lang w:val="en-US"/>
        </w:rPr>
        <w:t>Alt. 2 operation</w:t>
      </w:r>
      <w:r w:rsidRPr="00E318DE">
        <w:rPr>
          <w:rFonts w:eastAsia="ＭＳ 明朝"/>
          <w:sz w:val="22"/>
          <w:szCs w:val="22"/>
          <w:lang w:val="en-US"/>
        </w:rPr>
        <w:t>.</w:t>
      </w:r>
      <w:r w:rsidR="00BE44CF" w:rsidRPr="00E318DE">
        <w:rPr>
          <w:rFonts w:eastAsia="ＭＳ 明朝"/>
          <w:sz w:val="22"/>
          <w:szCs w:val="22"/>
          <w:lang w:val="en-US"/>
        </w:rPr>
        <w:t xml:space="preserve"> Additionally, Alt. 2 operation isn’t applied for configured grant PUSCH and PUCCH in Rel-16 NR-U.</w:t>
      </w:r>
    </w:p>
    <w:p w14:paraId="65238204" w14:textId="754A9830" w:rsidR="00BF6AB9" w:rsidRPr="00E318DE" w:rsidRDefault="00BF6AB9" w:rsidP="00C7277F">
      <w:pPr>
        <w:spacing w:before="120" w:after="120"/>
        <w:rPr>
          <w:rFonts w:eastAsia="Batang"/>
          <w:b/>
          <w:sz w:val="22"/>
          <w:szCs w:val="22"/>
          <w:lang w:eastAsia="ko-KR"/>
        </w:rPr>
      </w:pPr>
      <w:r w:rsidRPr="00E318DE">
        <w:rPr>
          <w:rFonts w:eastAsia="Batang"/>
          <w:b/>
          <w:sz w:val="22"/>
          <w:szCs w:val="22"/>
          <w:u w:val="single"/>
          <w:lang w:eastAsia="ko-KR"/>
        </w:rPr>
        <w:t xml:space="preserve">Proposal </w:t>
      </w:r>
      <w:r w:rsidR="005173D2">
        <w:rPr>
          <w:rFonts w:eastAsia="Batang"/>
          <w:b/>
          <w:sz w:val="22"/>
          <w:szCs w:val="22"/>
          <w:u w:val="single"/>
          <w:lang w:eastAsia="ko-KR"/>
        </w:rPr>
        <w:t>1</w:t>
      </w:r>
      <w:r w:rsidRPr="00E318DE">
        <w:rPr>
          <w:rFonts w:eastAsia="Batang"/>
          <w:b/>
          <w:sz w:val="22"/>
          <w:szCs w:val="22"/>
          <w:lang w:eastAsia="ko-KR"/>
        </w:rPr>
        <w:t xml:space="preserve">: For UL wideband operation in NR-U, </w:t>
      </w:r>
      <w:r w:rsidR="00B041A9" w:rsidRPr="00E318DE">
        <w:rPr>
          <w:rFonts w:eastAsia="Batang"/>
          <w:b/>
          <w:sz w:val="22"/>
          <w:szCs w:val="22"/>
          <w:lang w:eastAsia="ko-KR"/>
        </w:rPr>
        <w:t xml:space="preserve">the </w:t>
      </w:r>
      <w:r w:rsidR="00E7444D" w:rsidRPr="00E318DE">
        <w:rPr>
          <w:rFonts w:eastAsia="Batang"/>
          <w:b/>
          <w:sz w:val="22"/>
          <w:szCs w:val="22"/>
          <w:lang w:eastAsia="ko-KR"/>
        </w:rPr>
        <w:t xml:space="preserve">operation </w:t>
      </w:r>
      <w:r w:rsidR="00B041A9" w:rsidRPr="00E318DE">
        <w:rPr>
          <w:rFonts w:eastAsia="Batang"/>
          <w:b/>
          <w:sz w:val="22"/>
          <w:szCs w:val="22"/>
          <w:lang w:eastAsia="ko-KR"/>
        </w:rPr>
        <w:t>in which UE transmits the PUSCH in all or a subset of LBT bandwidths of the scheduled PUSCH for which CCA is successful at the UE is deprioritized</w:t>
      </w:r>
      <w:r w:rsidR="00081714">
        <w:rPr>
          <w:rFonts w:eastAsia="Batang"/>
          <w:b/>
          <w:sz w:val="22"/>
          <w:szCs w:val="22"/>
          <w:lang w:eastAsia="ko-KR"/>
        </w:rPr>
        <w:t xml:space="preserve"> in Rel-16</w:t>
      </w:r>
      <w:r w:rsidRPr="00E318DE">
        <w:rPr>
          <w:rFonts w:eastAsia="Batang"/>
          <w:b/>
          <w:sz w:val="22"/>
          <w:szCs w:val="22"/>
          <w:lang w:eastAsia="ko-KR"/>
        </w:rPr>
        <w:t>.</w:t>
      </w:r>
    </w:p>
    <w:p w14:paraId="0DAB339E" w14:textId="48639BFE" w:rsidR="00BF6AB9" w:rsidRDefault="00BF6AB9" w:rsidP="00BF6AB9">
      <w:pPr>
        <w:rPr>
          <w:lang w:val="en-US"/>
        </w:rPr>
      </w:pPr>
    </w:p>
    <w:p w14:paraId="30644CD2" w14:textId="77777777" w:rsidR="00AD52A3" w:rsidRPr="00BF6AB9" w:rsidRDefault="00AD52A3" w:rsidP="00BF6AB9">
      <w:pPr>
        <w:rPr>
          <w:lang w:val="en-US"/>
        </w:rPr>
      </w:pPr>
    </w:p>
    <w:p w14:paraId="3CD8C068" w14:textId="77777777" w:rsidR="00A25F9D" w:rsidRPr="00A25F9D" w:rsidRDefault="00A25F9D" w:rsidP="00A25F9D">
      <w:pPr>
        <w:pStyle w:val="afc"/>
        <w:keepNext/>
        <w:numPr>
          <w:ilvl w:val="0"/>
          <w:numId w:val="29"/>
        </w:numPr>
        <w:tabs>
          <w:tab w:val="left" w:pos="0"/>
        </w:tabs>
        <w:spacing w:before="240" w:after="60"/>
        <w:ind w:leftChars="0"/>
        <w:outlineLvl w:val="0"/>
        <w:rPr>
          <w:rStyle w:val="B10"/>
          <w:rFonts w:ascii="Arial" w:hAnsi="Arial"/>
          <w:vanish/>
          <w:kern w:val="28"/>
          <w:sz w:val="28"/>
        </w:rPr>
      </w:pPr>
    </w:p>
    <w:p w14:paraId="36D0D03B" w14:textId="77777777" w:rsidR="00A25F9D" w:rsidRPr="00A25F9D" w:rsidRDefault="00A25F9D" w:rsidP="00A25F9D">
      <w:pPr>
        <w:pStyle w:val="afc"/>
        <w:keepNext/>
        <w:numPr>
          <w:ilvl w:val="0"/>
          <w:numId w:val="29"/>
        </w:numPr>
        <w:tabs>
          <w:tab w:val="left" w:pos="0"/>
        </w:tabs>
        <w:spacing w:before="240" w:after="60"/>
        <w:ind w:leftChars="0"/>
        <w:outlineLvl w:val="0"/>
        <w:rPr>
          <w:rStyle w:val="B10"/>
          <w:rFonts w:ascii="Arial" w:hAnsi="Arial"/>
          <w:vanish/>
          <w:kern w:val="28"/>
          <w:sz w:val="28"/>
        </w:rPr>
      </w:pPr>
    </w:p>
    <w:p w14:paraId="1749FDFD" w14:textId="2D72B49F" w:rsidR="00B379A5" w:rsidRDefault="00A25F9D" w:rsidP="00EB42F6">
      <w:pPr>
        <w:pStyle w:val="1"/>
        <w:numPr>
          <w:ilvl w:val="0"/>
          <w:numId w:val="29"/>
        </w:numPr>
        <w:rPr>
          <w:rStyle w:val="B10"/>
          <w:b/>
        </w:rPr>
      </w:pPr>
      <w:r w:rsidRPr="00A25F9D">
        <w:rPr>
          <w:rStyle w:val="B10"/>
          <w:rFonts w:hint="eastAsia"/>
          <w:b/>
        </w:rPr>
        <w:t>M</w:t>
      </w:r>
      <w:r w:rsidRPr="00A25F9D">
        <w:rPr>
          <w:rStyle w:val="B10"/>
          <w:b/>
        </w:rPr>
        <w:t>echanism to identify gNB transmission sub-band(s) for UE</w:t>
      </w:r>
    </w:p>
    <w:p w14:paraId="162CFED6" w14:textId="177CD71D" w:rsidR="008D58DD" w:rsidRDefault="008D58DD" w:rsidP="008D58DD">
      <w:pPr>
        <w:spacing w:afterLines="50" w:after="120"/>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introduced in Section 1, RAN1 made agreements regarding explicit indication of available (or unavailable) carriers/LBT bandwidths by using GC-PDCCH. Details on signaling are discussed and proposed in our companion contribution [3]. Here we discuss on how to identify gNB’s transmission LBT bandwidths at UE for the beginning of DL transmission burst.</w:t>
      </w:r>
    </w:p>
    <w:p w14:paraId="1FC05264" w14:textId="779EF009" w:rsidR="000040F4" w:rsidRDefault="000040F4" w:rsidP="008D58DD">
      <w:pPr>
        <w:spacing w:afterLines="50" w:after="120"/>
        <w:rPr>
          <w:rFonts w:eastAsia="ＭＳ 明朝"/>
          <w:sz w:val="22"/>
          <w:szCs w:val="22"/>
          <w:lang w:val="en-US"/>
        </w:rPr>
      </w:pPr>
      <w:r>
        <w:rPr>
          <w:rFonts w:eastAsia="ＭＳ 明朝" w:hint="eastAsia"/>
          <w:sz w:val="22"/>
          <w:szCs w:val="22"/>
          <w:lang w:val="en-US"/>
        </w:rPr>
        <w:t>First, there are two types of wideband operations</w:t>
      </w:r>
      <w:r>
        <w:rPr>
          <w:rFonts w:eastAsia="ＭＳ 明朝"/>
          <w:sz w:val="22"/>
          <w:szCs w:val="22"/>
          <w:lang w:val="en-US"/>
        </w:rPr>
        <w:t xml:space="preserve"> as below. In case 1 operation, it is not necessary for UE to identify gNB’s transmission LBT bandwidths. Therefore, following discussion is for case 2 operation. </w:t>
      </w:r>
    </w:p>
    <w:p w14:paraId="452D3CED" w14:textId="45469621" w:rsidR="000040F4" w:rsidRPr="000040F4" w:rsidRDefault="000040F4" w:rsidP="000040F4">
      <w:pPr>
        <w:pStyle w:val="afc"/>
        <w:numPr>
          <w:ilvl w:val="0"/>
          <w:numId w:val="33"/>
        </w:numPr>
        <w:spacing w:afterLines="50" w:after="120"/>
        <w:ind w:leftChars="0"/>
        <w:rPr>
          <w:rFonts w:eastAsia="ＭＳ 明朝"/>
          <w:sz w:val="22"/>
          <w:szCs w:val="22"/>
          <w:lang w:val="en-US"/>
        </w:rPr>
      </w:pPr>
      <w:r w:rsidRPr="000040F4">
        <w:rPr>
          <w:rFonts w:eastAsia="ＭＳ 明朝" w:hint="eastAsia"/>
          <w:sz w:val="22"/>
          <w:szCs w:val="22"/>
          <w:lang w:val="en-US"/>
        </w:rPr>
        <w:t>Case 1</w:t>
      </w:r>
      <w:r w:rsidR="00D87CCF">
        <w:rPr>
          <w:rFonts w:eastAsia="ＭＳ 明朝"/>
          <w:sz w:val="22"/>
          <w:szCs w:val="22"/>
          <w:lang w:val="en-US"/>
        </w:rPr>
        <w:t xml:space="preserve"> (Option 2 in previous agreement)</w:t>
      </w:r>
      <w:r w:rsidRPr="000040F4">
        <w:rPr>
          <w:rFonts w:eastAsia="ＭＳ 明朝" w:hint="eastAsia"/>
          <w:sz w:val="22"/>
          <w:szCs w:val="22"/>
          <w:lang w:val="en-US"/>
        </w:rPr>
        <w:t xml:space="preserve">: </w:t>
      </w:r>
      <w:r w:rsidRPr="000040F4">
        <w:rPr>
          <w:rFonts w:eastAsia="ＭＳ 明朝"/>
          <w:sz w:val="22"/>
          <w:szCs w:val="22"/>
          <w:lang w:val="en-US"/>
        </w:rPr>
        <w:t>Multiple BWPs can be configured, single BWP activated, gNB may transmit PDSCH on whole of single active BWP when CCA is successful for all LBT bandwidths within the active BWP at gNB</w:t>
      </w:r>
    </w:p>
    <w:p w14:paraId="05F3A06F" w14:textId="05B32947" w:rsidR="000040F4" w:rsidRPr="000040F4" w:rsidRDefault="000040F4" w:rsidP="000040F4">
      <w:pPr>
        <w:pStyle w:val="afc"/>
        <w:numPr>
          <w:ilvl w:val="0"/>
          <w:numId w:val="33"/>
        </w:numPr>
        <w:spacing w:afterLines="50" w:after="120"/>
        <w:ind w:leftChars="0"/>
        <w:rPr>
          <w:rFonts w:eastAsia="ＭＳ 明朝"/>
          <w:sz w:val="22"/>
          <w:szCs w:val="22"/>
          <w:lang w:val="en-US"/>
        </w:rPr>
      </w:pPr>
      <w:r>
        <w:rPr>
          <w:rFonts w:eastAsia="ＭＳ 明朝"/>
          <w:sz w:val="22"/>
          <w:szCs w:val="22"/>
          <w:lang w:val="en-US"/>
        </w:rPr>
        <w:t>Case 2</w:t>
      </w:r>
      <w:r w:rsidR="00D87CCF">
        <w:rPr>
          <w:rFonts w:eastAsia="ＭＳ 明朝"/>
          <w:sz w:val="22"/>
          <w:szCs w:val="22"/>
          <w:lang w:val="en-US"/>
        </w:rPr>
        <w:t xml:space="preserve"> (Option 3 in previous agreement)</w:t>
      </w:r>
      <w:r>
        <w:rPr>
          <w:rFonts w:eastAsia="ＭＳ 明朝"/>
          <w:sz w:val="22"/>
          <w:szCs w:val="22"/>
          <w:lang w:val="en-US"/>
        </w:rPr>
        <w:t xml:space="preserve">: </w:t>
      </w:r>
      <w:r w:rsidR="008B74BE" w:rsidRPr="000040F4">
        <w:rPr>
          <w:rFonts w:eastAsia="ＭＳ 明朝"/>
          <w:sz w:val="22"/>
          <w:szCs w:val="22"/>
          <w:lang w:val="en-US"/>
        </w:rPr>
        <w:t>Multiple BWPs can be configured, single BWP activated, gNB may transmit PDSCH on part or whole of single active BWP where CCA is successful at gNB</w:t>
      </w:r>
    </w:p>
    <w:p w14:paraId="2B553420" w14:textId="63C53A50" w:rsidR="008D58DD" w:rsidRDefault="008D58DD" w:rsidP="008D58DD">
      <w:pPr>
        <w:spacing w:afterLines="50" w:after="120"/>
        <w:rPr>
          <w:rFonts w:eastAsia="ＭＳ 明朝"/>
          <w:sz w:val="22"/>
          <w:szCs w:val="22"/>
          <w:lang w:val="en-US"/>
        </w:rPr>
      </w:pPr>
      <w:r>
        <w:rPr>
          <w:rFonts w:eastAsia="ＭＳ 明朝"/>
          <w:sz w:val="22"/>
          <w:szCs w:val="22"/>
          <w:lang w:val="en-US"/>
        </w:rPr>
        <w:t>For the explicit indication mechanism, gNB needs to send appropriate contents via GC-PDCCH according to LBT results. So, at the beginning of</w:t>
      </w:r>
      <w:r w:rsidR="00082450">
        <w:rPr>
          <w:rFonts w:eastAsia="ＭＳ 明朝"/>
          <w:sz w:val="22"/>
          <w:szCs w:val="22"/>
          <w:lang w:val="en-US"/>
        </w:rPr>
        <w:t xml:space="preserve"> DL transmission burst, it may</w:t>
      </w:r>
      <w:r>
        <w:rPr>
          <w:rFonts w:eastAsia="ＭＳ 明朝"/>
          <w:sz w:val="22"/>
          <w:szCs w:val="22"/>
          <w:lang w:val="en-US"/>
        </w:rPr>
        <w:t xml:space="preserve"> not be feasible to send GC-PDCCH with appropriate channel occupancy frequency domain structure indication</w:t>
      </w:r>
      <w:r w:rsidR="00405B09">
        <w:rPr>
          <w:rFonts w:eastAsia="ＭＳ 明朝"/>
          <w:sz w:val="22"/>
          <w:szCs w:val="22"/>
          <w:lang w:val="en-US"/>
        </w:rPr>
        <w:t xml:space="preserve"> at least for some gNB</w:t>
      </w:r>
      <w:r>
        <w:rPr>
          <w:rFonts w:eastAsia="ＭＳ 明朝"/>
          <w:sz w:val="22"/>
          <w:szCs w:val="22"/>
          <w:lang w:val="en-US"/>
        </w:rPr>
        <w:t xml:space="preserve">. </w:t>
      </w:r>
      <w:r w:rsidR="00082450">
        <w:rPr>
          <w:rFonts w:eastAsia="ＭＳ 明朝"/>
          <w:sz w:val="22"/>
          <w:szCs w:val="22"/>
          <w:lang w:val="en-US"/>
        </w:rPr>
        <w:t xml:space="preserve">The identification of channel occupancy frequency domain structure at the beginning of DL transmission burst should be based on the detection of DL signal and/or channel at the UE. </w:t>
      </w:r>
      <w:r w:rsidR="000675B0">
        <w:rPr>
          <w:rFonts w:eastAsia="ＭＳ 明朝"/>
          <w:sz w:val="22"/>
          <w:szCs w:val="22"/>
          <w:lang w:val="en-US"/>
        </w:rPr>
        <w:t xml:space="preserve">For PDCCH/GC-PDCCH detection, UE should anyway perform PDCCH blind detection on every LBT bandwidth assuming multiple CORESETs confined within each LBT bandwidth are configured and associated with search space configuration for mini-slot based monitoring. For PDSCH/PUSCH resource allocation, </w:t>
      </w:r>
      <w:r w:rsidR="00AC0801">
        <w:rPr>
          <w:rFonts w:eastAsia="ＭＳ 明朝"/>
          <w:sz w:val="22"/>
          <w:szCs w:val="22"/>
          <w:lang w:val="en-US"/>
        </w:rPr>
        <w:t>UE can just follow resource allocation indication in DCI. gNB capable of changing DCI contents dynamically according to LBT outcome can allocate PDSCH/PUSCH resource from PDCCH in one LBT bandwidth to multiple available LBT bandwidth</w:t>
      </w:r>
      <w:r w:rsidR="00CF6898">
        <w:rPr>
          <w:rFonts w:eastAsia="ＭＳ 明朝"/>
          <w:sz w:val="22"/>
          <w:szCs w:val="22"/>
          <w:lang w:val="en-US"/>
        </w:rPr>
        <w:t>s</w:t>
      </w:r>
      <w:r w:rsidR="00AC0801">
        <w:rPr>
          <w:rFonts w:eastAsia="ＭＳ 明朝"/>
          <w:sz w:val="22"/>
          <w:szCs w:val="22"/>
          <w:lang w:val="en-US"/>
        </w:rPr>
        <w:t>. gNB not capable of changing DCI contents dynamically according to LBT outcome can allocate PDSCH/PUSCH resource from PDCCH in one LBT bandwidth to the same LBT bandwidth. Therefore, no special handling would be necessary to identify gNB’s transmission LBT bandwidths at UE for the beginning of DL transmission burst.</w:t>
      </w:r>
    </w:p>
    <w:p w14:paraId="27DDB59C" w14:textId="7AA8A902" w:rsidR="000040F4" w:rsidRPr="000040F4" w:rsidRDefault="000040F4" w:rsidP="000040F4">
      <w:pPr>
        <w:spacing w:before="120" w:after="120"/>
        <w:rPr>
          <w:rFonts w:eastAsia="Batang"/>
          <w:b/>
          <w:sz w:val="22"/>
          <w:szCs w:val="22"/>
          <w:lang w:eastAsia="ko-KR"/>
        </w:rPr>
      </w:pPr>
      <w:r w:rsidRPr="00E318DE">
        <w:rPr>
          <w:rFonts w:eastAsia="Batang"/>
          <w:b/>
          <w:sz w:val="22"/>
          <w:szCs w:val="22"/>
          <w:u w:val="single"/>
          <w:lang w:eastAsia="ko-KR"/>
        </w:rPr>
        <w:t xml:space="preserve">Proposal </w:t>
      </w:r>
      <w:r w:rsidR="00D87CCF">
        <w:rPr>
          <w:rFonts w:eastAsia="Batang"/>
          <w:b/>
          <w:sz w:val="22"/>
          <w:szCs w:val="22"/>
          <w:u w:val="single"/>
          <w:lang w:eastAsia="ko-KR"/>
        </w:rPr>
        <w:t>2</w:t>
      </w:r>
      <w:r w:rsidRPr="00E318DE">
        <w:rPr>
          <w:rFonts w:eastAsia="Batang"/>
          <w:b/>
          <w:sz w:val="22"/>
          <w:szCs w:val="22"/>
          <w:lang w:eastAsia="ko-KR"/>
        </w:rPr>
        <w:t xml:space="preserve">: </w:t>
      </w:r>
      <w:r w:rsidR="00CF6898">
        <w:rPr>
          <w:rFonts w:eastAsia="Batang"/>
          <w:b/>
          <w:sz w:val="22"/>
          <w:szCs w:val="22"/>
          <w:lang w:eastAsia="ko-KR"/>
        </w:rPr>
        <w:t xml:space="preserve">In case of wideband operation case 2 where </w:t>
      </w:r>
      <w:r w:rsidR="00CF6898" w:rsidRPr="00CF6898">
        <w:rPr>
          <w:rFonts w:eastAsia="Batang"/>
          <w:b/>
          <w:sz w:val="22"/>
          <w:szCs w:val="22"/>
          <w:lang w:eastAsia="ko-KR"/>
        </w:rPr>
        <w:t>gNB may transmit PDSCH on part or whole of single active BWP where CCA is successful</w:t>
      </w:r>
      <w:r>
        <w:rPr>
          <w:rFonts w:eastAsia="Batang"/>
          <w:b/>
          <w:sz w:val="22"/>
          <w:szCs w:val="22"/>
          <w:lang w:eastAsia="ko-KR"/>
        </w:rPr>
        <w:t>, UE performs blind detection of PDCCH and/or DMRS on every LBT bandwidth</w:t>
      </w:r>
      <w:r w:rsidR="000E15E6">
        <w:rPr>
          <w:rFonts w:eastAsia="Batang"/>
          <w:b/>
          <w:sz w:val="22"/>
          <w:szCs w:val="22"/>
          <w:lang w:eastAsia="ko-KR"/>
        </w:rPr>
        <w:t xml:space="preserve"> according to CORESET/search space configurations</w:t>
      </w:r>
      <w:r>
        <w:rPr>
          <w:rFonts w:eastAsia="Batang"/>
          <w:b/>
          <w:sz w:val="22"/>
          <w:szCs w:val="22"/>
          <w:lang w:eastAsia="ko-KR"/>
        </w:rPr>
        <w:t>.</w:t>
      </w:r>
    </w:p>
    <w:p w14:paraId="50930562" w14:textId="56CB561D" w:rsidR="008D58DD" w:rsidRPr="000040F4" w:rsidRDefault="008D58DD" w:rsidP="008D58DD">
      <w:pPr>
        <w:spacing w:afterLines="50" w:after="120"/>
        <w:rPr>
          <w:rFonts w:eastAsia="ＭＳ 明朝"/>
          <w:sz w:val="22"/>
          <w:szCs w:val="22"/>
        </w:rPr>
      </w:pPr>
    </w:p>
    <w:p w14:paraId="51B37E9C" w14:textId="77777777" w:rsidR="008D58DD" w:rsidRPr="00E318DE" w:rsidRDefault="008D58DD" w:rsidP="008D58DD">
      <w:pPr>
        <w:spacing w:afterLines="50" w:after="120"/>
        <w:rPr>
          <w:rFonts w:eastAsia="ＭＳ 明朝"/>
          <w:sz w:val="22"/>
          <w:szCs w:val="22"/>
          <w:lang w:val="en-US"/>
        </w:rPr>
      </w:pPr>
    </w:p>
    <w:p w14:paraId="20C32964" w14:textId="4A742C4F" w:rsidR="00CE7DF9" w:rsidRPr="00CE7DF9" w:rsidRDefault="00594B3C" w:rsidP="00CE7DF9">
      <w:pPr>
        <w:pStyle w:val="1"/>
        <w:numPr>
          <w:ilvl w:val="0"/>
          <w:numId w:val="29"/>
        </w:numPr>
        <w:rPr>
          <w:rFonts w:eastAsia="ＭＳ 明朝"/>
          <w:b/>
          <w:lang w:eastAsia="en-US"/>
        </w:rPr>
      </w:pPr>
      <w:r w:rsidRPr="00EF6B5E">
        <w:rPr>
          <w:rStyle w:val="B10"/>
          <w:b/>
        </w:rPr>
        <w:t>CORESET/PDCCH configuration for wide-band operatio</w:t>
      </w:r>
      <w:r w:rsidR="00CE7DF9">
        <w:rPr>
          <w:rStyle w:val="B10"/>
          <w:rFonts w:hint="eastAsia"/>
          <w:b/>
          <w:lang w:eastAsia="ja-JP"/>
        </w:rPr>
        <w:t>n</w:t>
      </w:r>
    </w:p>
    <w:p w14:paraId="5419906E" w14:textId="444F9577" w:rsidR="00082450" w:rsidRDefault="000070BF" w:rsidP="00082450">
      <w:pPr>
        <w:spacing w:afterLines="50" w:after="120"/>
        <w:rPr>
          <w:rFonts w:eastAsia="ＭＳ 明朝"/>
          <w:sz w:val="22"/>
          <w:szCs w:val="22"/>
          <w:lang w:val="en-US"/>
        </w:rPr>
      </w:pPr>
      <w:r>
        <w:rPr>
          <w:rFonts w:eastAsia="ＭＳ 明朝" w:hint="eastAsia"/>
          <w:sz w:val="22"/>
          <w:szCs w:val="22"/>
          <w:lang w:val="en-US"/>
        </w:rPr>
        <w:t xml:space="preserve">Regarding CORESET </w:t>
      </w:r>
      <w:r>
        <w:rPr>
          <w:rFonts w:eastAsia="ＭＳ 明朝"/>
          <w:sz w:val="22"/>
          <w:szCs w:val="22"/>
          <w:lang w:val="en-US"/>
        </w:rPr>
        <w:t xml:space="preserve">for wideband operation, following </w:t>
      </w:r>
      <w:r w:rsidR="00873540">
        <w:rPr>
          <w:rFonts w:eastAsia="ＭＳ 明朝"/>
          <w:sz w:val="22"/>
          <w:szCs w:val="22"/>
          <w:lang w:val="en-US"/>
        </w:rPr>
        <w:t>two alternatives have been identified.</w:t>
      </w:r>
    </w:p>
    <w:p w14:paraId="3C25C7FA" w14:textId="584D72A5" w:rsidR="00873540" w:rsidRDefault="00873540" w:rsidP="00873540">
      <w:pPr>
        <w:pStyle w:val="afc"/>
        <w:numPr>
          <w:ilvl w:val="0"/>
          <w:numId w:val="36"/>
        </w:numPr>
        <w:spacing w:afterLines="50" w:after="120"/>
        <w:ind w:leftChars="0"/>
        <w:rPr>
          <w:rFonts w:eastAsia="ＭＳ 明朝"/>
          <w:sz w:val="22"/>
          <w:szCs w:val="22"/>
          <w:lang w:val="en-US"/>
        </w:rPr>
      </w:pPr>
      <w:r>
        <w:rPr>
          <w:rFonts w:eastAsia="ＭＳ 明朝" w:hint="eastAsia"/>
          <w:sz w:val="22"/>
          <w:szCs w:val="22"/>
          <w:lang w:val="en-US"/>
        </w:rPr>
        <w:t xml:space="preserve">Alt.1: </w:t>
      </w:r>
      <w:r w:rsidRPr="00873540">
        <w:rPr>
          <w:rFonts w:eastAsia="ＭＳ 明朝"/>
          <w:sz w:val="22"/>
          <w:szCs w:val="22"/>
          <w:lang w:val="en-US"/>
        </w:rPr>
        <w:t xml:space="preserve">multiple </w:t>
      </w:r>
      <w:r>
        <w:rPr>
          <w:rFonts w:eastAsia="ＭＳ 明朝"/>
          <w:sz w:val="22"/>
          <w:szCs w:val="22"/>
          <w:lang w:val="en-US"/>
        </w:rPr>
        <w:t xml:space="preserve">CORESETs with one or more per LBT </w:t>
      </w:r>
      <w:r w:rsidRPr="00873540">
        <w:rPr>
          <w:rFonts w:eastAsia="ＭＳ 明朝"/>
          <w:sz w:val="22"/>
          <w:szCs w:val="22"/>
          <w:lang w:val="en-US"/>
        </w:rPr>
        <w:t>band</w:t>
      </w:r>
      <w:r>
        <w:rPr>
          <w:rFonts w:eastAsia="ＭＳ 明朝"/>
          <w:sz w:val="22"/>
          <w:szCs w:val="22"/>
          <w:lang w:val="en-US"/>
        </w:rPr>
        <w:t>width</w:t>
      </w:r>
    </w:p>
    <w:p w14:paraId="6E6F4A7C" w14:textId="00C31D42" w:rsidR="00873540" w:rsidRPr="00873540" w:rsidRDefault="00873540" w:rsidP="00873540">
      <w:pPr>
        <w:pStyle w:val="afc"/>
        <w:numPr>
          <w:ilvl w:val="0"/>
          <w:numId w:val="36"/>
        </w:numPr>
        <w:spacing w:afterLines="50" w:after="120"/>
        <w:ind w:leftChars="0"/>
        <w:rPr>
          <w:rFonts w:eastAsia="ＭＳ 明朝"/>
          <w:sz w:val="22"/>
          <w:szCs w:val="22"/>
          <w:lang w:val="en-US"/>
        </w:rPr>
      </w:pPr>
      <w:r>
        <w:rPr>
          <w:rFonts w:eastAsia="ＭＳ 明朝"/>
          <w:sz w:val="22"/>
          <w:szCs w:val="22"/>
          <w:lang w:val="en-US"/>
        </w:rPr>
        <w:t xml:space="preserve">Alt.2: </w:t>
      </w:r>
      <w:r>
        <w:rPr>
          <w:sz w:val="21"/>
          <w:szCs w:val="16"/>
          <w:lang w:val="en-US"/>
        </w:rPr>
        <w:t>multi-cluster CORESET</w:t>
      </w:r>
      <w:r w:rsidRPr="006D0257">
        <w:rPr>
          <w:sz w:val="21"/>
          <w:szCs w:val="16"/>
          <w:lang w:val="en-US"/>
        </w:rPr>
        <w:t xml:space="preserve"> with one cluster per </w:t>
      </w:r>
      <w:r>
        <w:rPr>
          <w:sz w:val="21"/>
          <w:szCs w:val="16"/>
          <w:lang w:val="en-US"/>
        </w:rPr>
        <w:t>LBT b</w:t>
      </w:r>
      <w:r w:rsidRPr="006D0257">
        <w:rPr>
          <w:sz w:val="21"/>
          <w:szCs w:val="16"/>
          <w:lang w:val="en-US"/>
        </w:rPr>
        <w:t>and</w:t>
      </w:r>
      <w:r>
        <w:rPr>
          <w:sz w:val="21"/>
          <w:szCs w:val="16"/>
          <w:lang w:val="en-US"/>
        </w:rPr>
        <w:t>width</w:t>
      </w:r>
    </w:p>
    <w:p w14:paraId="4C46C8E1" w14:textId="48BBFA4E" w:rsidR="00082450" w:rsidRDefault="00873540" w:rsidP="00082450">
      <w:pPr>
        <w:spacing w:afterLines="50" w:after="120"/>
        <w:rPr>
          <w:rFonts w:eastAsia="ＭＳ 明朝"/>
          <w:sz w:val="22"/>
          <w:szCs w:val="22"/>
          <w:lang w:val="en-US"/>
        </w:rPr>
      </w:pPr>
      <w:r>
        <w:rPr>
          <w:rFonts w:eastAsia="ＭＳ 明朝" w:hint="eastAsia"/>
          <w:sz w:val="22"/>
          <w:szCs w:val="22"/>
          <w:lang w:val="en-US"/>
        </w:rPr>
        <w:t xml:space="preserve">At the beginning of DL transmission burst, </w:t>
      </w:r>
      <w:r>
        <w:rPr>
          <w:rFonts w:eastAsia="ＭＳ 明朝"/>
          <w:sz w:val="22"/>
          <w:szCs w:val="22"/>
          <w:lang w:val="en-US"/>
        </w:rPr>
        <w:t xml:space="preserve">PDCCH transmission would need to be performed immediately after LBT which determines available LBT bandwidth(s). Therefore, preparing PDCCH(s) confined within each LBT bandwidth may be the simplest approach. </w:t>
      </w:r>
      <w:r w:rsidR="00C21623">
        <w:rPr>
          <w:rFonts w:eastAsia="ＭＳ 明朝"/>
          <w:sz w:val="22"/>
          <w:szCs w:val="22"/>
          <w:lang w:val="en-US"/>
        </w:rPr>
        <w:t xml:space="preserve">If multiple CORESETs are configured and each CORESET is confined within a LBT bandwidth, PDCCH transmission is also confined within the LBT bandwidth according to current CCE-to-REG mapping rule. However, if one CORESET with multiple clusters are configured and each cluster is confined within a LBT bandwidth, PDCCH transmission may not be confined within one LBT bandwidth. </w:t>
      </w:r>
      <w:r w:rsidR="00305E15">
        <w:rPr>
          <w:rFonts w:eastAsia="ＭＳ 明朝"/>
          <w:sz w:val="22"/>
          <w:szCs w:val="22"/>
          <w:lang w:val="en-US"/>
        </w:rPr>
        <w:t>Therefore, considering specification impact</w:t>
      </w:r>
      <w:r w:rsidR="00F35846">
        <w:rPr>
          <w:rFonts w:eastAsia="ＭＳ 明朝"/>
          <w:sz w:val="22"/>
          <w:szCs w:val="22"/>
          <w:lang w:val="en-US"/>
        </w:rPr>
        <w:t xml:space="preserve"> to define new CCE-to-REG mapping rule and/or hashing operation for Alt.2</w:t>
      </w:r>
      <w:r w:rsidR="00305E15">
        <w:rPr>
          <w:rFonts w:eastAsia="ＭＳ 明朝"/>
          <w:sz w:val="22"/>
          <w:szCs w:val="22"/>
          <w:lang w:val="en-US"/>
        </w:rPr>
        <w:t>, Alt.1 seems preferable.</w:t>
      </w:r>
    </w:p>
    <w:p w14:paraId="34298D99" w14:textId="25F3CB14" w:rsidR="000E15E6" w:rsidRDefault="00305E15" w:rsidP="00082450">
      <w:pPr>
        <w:spacing w:afterLines="50" w:after="120"/>
        <w:rPr>
          <w:rFonts w:eastAsia="ＭＳ 明朝"/>
          <w:sz w:val="22"/>
          <w:szCs w:val="22"/>
          <w:lang w:val="en-US"/>
        </w:rPr>
      </w:pPr>
      <w:r>
        <w:rPr>
          <w:rFonts w:eastAsia="ＭＳ 明朝"/>
          <w:sz w:val="22"/>
          <w:szCs w:val="22"/>
          <w:lang w:val="en-US"/>
        </w:rPr>
        <w:t xml:space="preserve">Although multiple CORESETs </w:t>
      </w:r>
      <w:r w:rsidR="000E15E6">
        <w:rPr>
          <w:rFonts w:eastAsia="ＭＳ 明朝"/>
          <w:sz w:val="22"/>
          <w:szCs w:val="22"/>
          <w:lang w:val="en-US"/>
        </w:rPr>
        <w:t>for different</w:t>
      </w:r>
      <w:r>
        <w:rPr>
          <w:rFonts w:eastAsia="ＭＳ 明朝"/>
          <w:sz w:val="22"/>
          <w:szCs w:val="22"/>
          <w:lang w:val="en-US"/>
        </w:rPr>
        <w:t xml:space="preserve"> LBT bandwidth should be possible, i.e., maximum number of configured CORESETs per BWP </w:t>
      </w:r>
      <w:r w:rsidR="000E15E6">
        <w:rPr>
          <w:rFonts w:eastAsia="ＭＳ 明朝"/>
          <w:sz w:val="22"/>
          <w:szCs w:val="22"/>
          <w:lang w:val="en-US"/>
        </w:rPr>
        <w:t>can</w:t>
      </w:r>
      <w:r>
        <w:rPr>
          <w:rFonts w:eastAsia="ＭＳ 明朝"/>
          <w:sz w:val="22"/>
          <w:szCs w:val="22"/>
          <w:lang w:val="en-US"/>
        </w:rPr>
        <w:t xml:space="preserve"> be increased</w:t>
      </w:r>
      <w:r w:rsidR="000E15E6">
        <w:rPr>
          <w:rFonts w:eastAsia="ＭＳ 明朝"/>
          <w:sz w:val="22"/>
          <w:szCs w:val="22"/>
          <w:lang w:val="en-US"/>
        </w:rPr>
        <w:t xml:space="preserve"> to [5]</w:t>
      </w:r>
      <w:r>
        <w:rPr>
          <w:rFonts w:eastAsia="ＭＳ 明朝"/>
          <w:sz w:val="22"/>
          <w:szCs w:val="22"/>
          <w:lang w:val="en-US"/>
        </w:rPr>
        <w:t xml:space="preserve">, it is not necessary for wideband operation that each CORESET can have different properties such as </w:t>
      </w:r>
      <w:r w:rsidR="00F35846">
        <w:rPr>
          <w:rFonts w:eastAsia="ＭＳ 明朝"/>
          <w:sz w:val="22"/>
          <w:szCs w:val="22"/>
          <w:lang w:val="en-US"/>
        </w:rPr>
        <w:t>different TCI state, duration, etc</w:t>
      </w:r>
      <w:r>
        <w:rPr>
          <w:rFonts w:eastAsia="ＭＳ 明朝"/>
          <w:sz w:val="22"/>
          <w:szCs w:val="22"/>
          <w:lang w:val="en-US"/>
        </w:rPr>
        <w:t xml:space="preserve">. </w:t>
      </w:r>
      <w:r w:rsidR="000E15E6">
        <w:rPr>
          <w:rFonts w:eastAsia="ＭＳ 明朝"/>
          <w:sz w:val="22"/>
          <w:szCs w:val="22"/>
          <w:lang w:val="en-US"/>
        </w:rPr>
        <w:t>On the other hand, for multi-TRP operation discussed in eMIMO WI, multiple CORESETs with different properties would be necessary. Therefore, one possible way is to define UE capability signaling regarding maximum number of CORESETs with different properties per BWP so that UE is not expected to be configured with larger number of CORESETs with different properties than the reported value.</w:t>
      </w:r>
      <w:r w:rsidR="00D87CCF">
        <w:rPr>
          <w:rFonts w:eastAsia="ＭＳ 明朝"/>
          <w:sz w:val="22"/>
          <w:szCs w:val="22"/>
          <w:lang w:val="en-US"/>
        </w:rPr>
        <w:t xml:space="preserve"> In addition, UE can also report its capability on support of wideband operation case 2 and UE supporting wideband operation case 2 should support up to [5] CORESETs per BWP.</w:t>
      </w:r>
    </w:p>
    <w:p w14:paraId="76BA6321" w14:textId="2F7997FA" w:rsidR="000E15E6" w:rsidRDefault="000E15E6" w:rsidP="000E15E6">
      <w:pPr>
        <w:spacing w:before="120" w:after="120"/>
        <w:rPr>
          <w:rFonts w:eastAsia="Batang"/>
          <w:b/>
          <w:sz w:val="22"/>
          <w:szCs w:val="22"/>
          <w:lang w:eastAsia="ko-KR"/>
        </w:rPr>
      </w:pPr>
      <w:r w:rsidRPr="00E318DE">
        <w:rPr>
          <w:rFonts w:eastAsia="Batang"/>
          <w:b/>
          <w:sz w:val="22"/>
          <w:szCs w:val="22"/>
          <w:u w:val="single"/>
          <w:lang w:eastAsia="ko-KR"/>
        </w:rPr>
        <w:t xml:space="preserve">Proposal </w:t>
      </w:r>
      <w:r w:rsidR="00D87CCF">
        <w:rPr>
          <w:rFonts w:eastAsia="Batang"/>
          <w:b/>
          <w:sz w:val="22"/>
          <w:szCs w:val="22"/>
          <w:u w:val="single"/>
          <w:lang w:eastAsia="ko-KR"/>
        </w:rPr>
        <w:t>3</w:t>
      </w:r>
      <w:r w:rsidRPr="00E318DE">
        <w:rPr>
          <w:rFonts w:eastAsia="Batang"/>
          <w:b/>
          <w:sz w:val="22"/>
          <w:szCs w:val="22"/>
          <w:lang w:eastAsia="ko-KR"/>
        </w:rPr>
        <w:t xml:space="preserve">: </w:t>
      </w:r>
      <w:r>
        <w:rPr>
          <w:rFonts w:eastAsia="Batang"/>
          <w:b/>
          <w:sz w:val="22"/>
          <w:szCs w:val="22"/>
          <w:lang w:eastAsia="ko-KR"/>
        </w:rPr>
        <w:t>Rel-16 UE reports its capability regarding maximum number of CORESETs with different properties per BWP.</w:t>
      </w:r>
    </w:p>
    <w:p w14:paraId="63E50462" w14:textId="70459C21" w:rsidR="000E15E6" w:rsidRDefault="000E15E6" w:rsidP="000E15E6">
      <w:pPr>
        <w:pStyle w:val="afc"/>
        <w:numPr>
          <w:ilvl w:val="0"/>
          <w:numId w:val="39"/>
        </w:numPr>
        <w:spacing w:before="120" w:after="120"/>
        <w:ind w:leftChars="0"/>
        <w:rPr>
          <w:rFonts w:eastAsia="Batang"/>
          <w:b/>
          <w:sz w:val="22"/>
          <w:szCs w:val="22"/>
          <w:lang w:eastAsia="ko-KR"/>
        </w:rPr>
      </w:pPr>
      <w:r w:rsidRPr="000E15E6">
        <w:rPr>
          <w:rFonts w:eastAsia="Batang"/>
          <w:b/>
          <w:sz w:val="22"/>
          <w:szCs w:val="22"/>
          <w:lang w:eastAsia="ko-KR"/>
        </w:rPr>
        <w:t>UE is not expected to be configured with larger number of CORESETs with different properties than the reported value</w:t>
      </w:r>
      <w:r>
        <w:rPr>
          <w:rFonts w:eastAsia="Batang"/>
          <w:b/>
          <w:sz w:val="22"/>
          <w:szCs w:val="22"/>
          <w:lang w:eastAsia="ko-KR"/>
        </w:rPr>
        <w:t>.</w:t>
      </w:r>
    </w:p>
    <w:p w14:paraId="39839234" w14:textId="1173000E" w:rsidR="000E15E6" w:rsidRPr="000E15E6" w:rsidRDefault="000E15E6" w:rsidP="000E15E6">
      <w:pPr>
        <w:pStyle w:val="afc"/>
        <w:numPr>
          <w:ilvl w:val="0"/>
          <w:numId w:val="39"/>
        </w:numPr>
        <w:spacing w:before="120" w:after="120"/>
        <w:ind w:leftChars="0"/>
        <w:rPr>
          <w:rFonts w:eastAsia="Batang"/>
          <w:b/>
          <w:sz w:val="22"/>
          <w:szCs w:val="22"/>
          <w:lang w:eastAsia="ko-KR"/>
        </w:rPr>
      </w:pPr>
      <w:r>
        <w:rPr>
          <w:rFonts w:eastAsia="Batang"/>
          <w:b/>
          <w:sz w:val="22"/>
          <w:szCs w:val="22"/>
          <w:lang w:eastAsia="ko-KR"/>
        </w:rPr>
        <w:t xml:space="preserve">UE capability on </w:t>
      </w:r>
      <w:r w:rsidR="00D87CCF">
        <w:rPr>
          <w:rFonts w:eastAsia="Batang"/>
          <w:b/>
          <w:sz w:val="22"/>
          <w:szCs w:val="22"/>
          <w:lang w:eastAsia="ko-KR"/>
        </w:rPr>
        <w:t>support of wideband operation case 2 can also be reported, and UE supporting wideband operation case 2 shall support up to [5] CORESETs per BWP</w:t>
      </w:r>
      <w:r>
        <w:rPr>
          <w:rFonts w:eastAsia="Batang"/>
          <w:b/>
          <w:sz w:val="22"/>
          <w:szCs w:val="22"/>
          <w:lang w:eastAsia="ko-KR"/>
        </w:rPr>
        <w:t>.</w:t>
      </w:r>
    </w:p>
    <w:p w14:paraId="578847BE" w14:textId="77777777" w:rsidR="000E15E6" w:rsidRPr="000E15E6" w:rsidRDefault="000E15E6" w:rsidP="00082450">
      <w:pPr>
        <w:spacing w:afterLines="50" w:after="120"/>
        <w:rPr>
          <w:rFonts w:eastAsia="ＭＳ 明朝"/>
          <w:sz w:val="22"/>
          <w:szCs w:val="22"/>
        </w:rPr>
      </w:pPr>
    </w:p>
    <w:p w14:paraId="10F8E14D" w14:textId="31B84CC3" w:rsidR="00305E15" w:rsidRDefault="000A3357" w:rsidP="00082450">
      <w:pPr>
        <w:spacing w:afterLines="50" w:after="120"/>
        <w:rPr>
          <w:rFonts w:eastAsia="ＭＳ 明朝"/>
          <w:sz w:val="22"/>
          <w:szCs w:val="22"/>
          <w:lang w:val="en-US"/>
        </w:rPr>
      </w:pPr>
      <w:r>
        <w:rPr>
          <w:rFonts w:eastAsia="ＭＳ 明朝"/>
          <w:sz w:val="22"/>
          <w:szCs w:val="22"/>
          <w:lang w:val="en-US"/>
        </w:rPr>
        <w:t>Regarding the association between search space configuration and CORESET configuration, following alternatives can be considered.</w:t>
      </w:r>
    </w:p>
    <w:p w14:paraId="15C038A3" w14:textId="7C534678" w:rsidR="000A3357" w:rsidRDefault="000A3357" w:rsidP="00F35846">
      <w:pPr>
        <w:pStyle w:val="afc"/>
        <w:numPr>
          <w:ilvl w:val="0"/>
          <w:numId w:val="37"/>
        </w:numPr>
        <w:spacing w:afterLines="50" w:after="120"/>
        <w:ind w:leftChars="0"/>
        <w:rPr>
          <w:rFonts w:eastAsia="ＭＳ 明朝"/>
          <w:sz w:val="22"/>
          <w:szCs w:val="22"/>
          <w:lang w:val="en-US"/>
        </w:rPr>
      </w:pPr>
      <w:r>
        <w:rPr>
          <w:rFonts w:eastAsia="ＭＳ 明朝" w:hint="eastAsia"/>
          <w:sz w:val="22"/>
          <w:szCs w:val="22"/>
          <w:lang w:val="en-US"/>
        </w:rPr>
        <w:t xml:space="preserve">Alt.1: </w:t>
      </w:r>
      <w:r>
        <w:rPr>
          <w:rFonts w:eastAsia="ＭＳ 明朝"/>
          <w:sz w:val="22"/>
          <w:szCs w:val="22"/>
          <w:lang w:val="en-US"/>
        </w:rPr>
        <w:t>A search space configuration indicates an associated CORESET ID as in Rel-15, and multiple search spaces are configured for wideband operation with multiple CORESETs.</w:t>
      </w:r>
    </w:p>
    <w:p w14:paraId="653EEFFE" w14:textId="1739FF71" w:rsidR="00F35846" w:rsidRDefault="000A3357" w:rsidP="00F35846">
      <w:pPr>
        <w:pStyle w:val="afc"/>
        <w:numPr>
          <w:ilvl w:val="0"/>
          <w:numId w:val="37"/>
        </w:numPr>
        <w:spacing w:afterLines="50" w:after="120"/>
        <w:ind w:leftChars="0"/>
        <w:rPr>
          <w:rFonts w:eastAsia="ＭＳ 明朝"/>
          <w:sz w:val="22"/>
          <w:szCs w:val="22"/>
          <w:lang w:val="en-US"/>
        </w:rPr>
      </w:pPr>
      <w:r>
        <w:rPr>
          <w:rFonts w:eastAsia="ＭＳ 明朝"/>
          <w:sz w:val="22"/>
          <w:szCs w:val="22"/>
          <w:lang w:val="en-US"/>
        </w:rPr>
        <w:t>Alt</w:t>
      </w:r>
      <w:r w:rsidR="00F35846">
        <w:rPr>
          <w:rFonts w:eastAsia="ＭＳ 明朝" w:hint="eastAsia"/>
          <w:sz w:val="22"/>
          <w:szCs w:val="22"/>
          <w:lang w:val="en-US"/>
        </w:rPr>
        <w:t>.</w:t>
      </w:r>
      <w:r>
        <w:rPr>
          <w:rFonts w:eastAsia="ＭＳ 明朝"/>
          <w:sz w:val="22"/>
          <w:szCs w:val="22"/>
          <w:lang w:val="en-US"/>
        </w:rPr>
        <w:t>2</w:t>
      </w:r>
      <w:r w:rsidR="00F35846">
        <w:rPr>
          <w:rFonts w:eastAsia="ＭＳ 明朝" w:hint="eastAsia"/>
          <w:sz w:val="22"/>
          <w:szCs w:val="22"/>
          <w:lang w:val="en-US"/>
        </w:rPr>
        <w:t>: Multiple CORESETs sharing same properties (</w:t>
      </w:r>
      <w:r w:rsidR="00F35846">
        <w:rPr>
          <w:rFonts w:eastAsia="ＭＳ 明朝"/>
          <w:sz w:val="22"/>
          <w:szCs w:val="22"/>
          <w:lang w:val="en-US"/>
        </w:rPr>
        <w:t>except for frequencyDomainResources</w:t>
      </w:r>
      <w:r w:rsidR="00F35846">
        <w:rPr>
          <w:rFonts w:eastAsia="ＭＳ 明朝" w:hint="eastAsia"/>
          <w:sz w:val="22"/>
          <w:szCs w:val="22"/>
          <w:lang w:val="en-US"/>
        </w:rPr>
        <w:t>)</w:t>
      </w:r>
      <w:r w:rsidR="00F35846">
        <w:rPr>
          <w:rFonts w:eastAsia="ＭＳ 明朝"/>
          <w:sz w:val="22"/>
          <w:szCs w:val="22"/>
          <w:lang w:val="en-US"/>
        </w:rPr>
        <w:t xml:space="preserve"> are configured as one “CORESET group”, and </w:t>
      </w:r>
      <w:r>
        <w:rPr>
          <w:rFonts w:eastAsia="ＭＳ 明朝"/>
          <w:sz w:val="22"/>
          <w:szCs w:val="22"/>
          <w:lang w:val="en-US"/>
        </w:rPr>
        <w:t xml:space="preserve">a </w:t>
      </w:r>
      <w:r w:rsidR="00F35846">
        <w:rPr>
          <w:rFonts w:eastAsia="ＭＳ 明朝"/>
          <w:sz w:val="22"/>
          <w:szCs w:val="22"/>
          <w:lang w:val="en-US"/>
        </w:rPr>
        <w:t xml:space="preserve">search space configuration can indicate </w:t>
      </w:r>
      <w:r>
        <w:rPr>
          <w:rFonts w:eastAsia="ＭＳ 明朝"/>
          <w:sz w:val="22"/>
          <w:szCs w:val="22"/>
          <w:lang w:val="en-US"/>
        </w:rPr>
        <w:t xml:space="preserve">either </w:t>
      </w:r>
      <w:r w:rsidR="00F35846">
        <w:rPr>
          <w:rFonts w:eastAsia="ＭＳ 明朝"/>
          <w:sz w:val="22"/>
          <w:szCs w:val="22"/>
          <w:lang w:val="en-US"/>
        </w:rPr>
        <w:t>an associated CORESET ID or CORESET group ID.</w:t>
      </w:r>
    </w:p>
    <w:p w14:paraId="620F1738" w14:textId="0B165C4B" w:rsidR="00F35846" w:rsidRPr="00F35846" w:rsidRDefault="000A3357" w:rsidP="00F35846">
      <w:pPr>
        <w:pStyle w:val="afc"/>
        <w:numPr>
          <w:ilvl w:val="0"/>
          <w:numId w:val="37"/>
        </w:numPr>
        <w:spacing w:afterLines="50" w:after="120"/>
        <w:ind w:leftChars="0"/>
        <w:rPr>
          <w:rFonts w:eastAsia="ＭＳ 明朝"/>
          <w:sz w:val="22"/>
          <w:szCs w:val="22"/>
          <w:lang w:val="en-US"/>
        </w:rPr>
      </w:pPr>
      <w:r>
        <w:rPr>
          <w:rFonts w:eastAsia="ＭＳ 明朝"/>
          <w:sz w:val="22"/>
          <w:szCs w:val="22"/>
          <w:lang w:val="en-US"/>
        </w:rPr>
        <w:t>Alt</w:t>
      </w:r>
      <w:r w:rsidR="00F35846">
        <w:rPr>
          <w:rFonts w:eastAsia="ＭＳ 明朝" w:hint="eastAsia"/>
          <w:sz w:val="22"/>
          <w:szCs w:val="22"/>
          <w:lang w:val="en-US"/>
        </w:rPr>
        <w:t>.</w:t>
      </w:r>
      <w:r>
        <w:rPr>
          <w:rFonts w:eastAsia="ＭＳ 明朝"/>
          <w:sz w:val="22"/>
          <w:szCs w:val="22"/>
          <w:lang w:val="en-US"/>
        </w:rPr>
        <w:t>3</w:t>
      </w:r>
      <w:r w:rsidR="00F35846">
        <w:rPr>
          <w:rFonts w:eastAsia="ＭＳ 明朝" w:hint="eastAsia"/>
          <w:sz w:val="22"/>
          <w:szCs w:val="22"/>
          <w:lang w:val="en-US"/>
        </w:rPr>
        <w:t xml:space="preserve">: </w:t>
      </w:r>
      <w:r>
        <w:rPr>
          <w:rFonts w:eastAsia="ＭＳ 明朝"/>
          <w:sz w:val="22"/>
          <w:szCs w:val="22"/>
          <w:lang w:val="en-US"/>
        </w:rPr>
        <w:t>A s</w:t>
      </w:r>
      <w:r w:rsidR="00F35846">
        <w:rPr>
          <w:rFonts w:eastAsia="ＭＳ 明朝"/>
          <w:sz w:val="22"/>
          <w:szCs w:val="22"/>
          <w:lang w:val="en-US"/>
        </w:rPr>
        <w:t>earch space configuration can indicate one or multiple associated CORESET IDs.</w:t>
      </w:r>
    </w:p>
    <w:p w14:paraId="446B8938" w14:textId="632F81C3" w:rsidR="00873540" w:rsidRDefault="000A3357" w:rsidP="00082450">
      <w:pPr>
        <w:spacing w:afterLines="50" w:after="120"/>
        <w:rPr>
          <w:rFonts w:eastAsia="ＭＳ 明朝"/>
          <w:sz w:val="22"/>
          <w:szCs w:val="22"/>
          <w:lang w:val="en-US"/>
        </w:rPr>
      </w:pPr>
      <w:r>
        <w:rPr>
          <w:rFonts w:eastAsia="ＭＳ 明朝"/>
          <w:sz w:val="22"/>
          <w:szCs w:val="22"/>
          <w:lang w:val="en-US"/>
        </w:rPr>
        <w:t xml:space="preserve">Alt.1 is based on Rel-15 rule on association between search space and CORESET. In this alternative, number of search space configurations per BWP would be large, e.g., for two different monitoring periodicities and five CORESETs (LBT bandwidths), 10 search space configurations may be necessary. In Rel-15, maximum number of search space configurations per BWP is 10. </w:t>
      </w:r>
      <w:r w:rsidR="00A51774">
        <w:rPr>
          <w:rFonts w:eastAsia="ＭＳ 明朝"/>
          <w:sz w:val="22"/>
          <w:szCs w:val="22"/>
          <w:lang w:val="en-US"/>
        </w:rPr>
        <w:t>So it would need to be increased.</w:t>
      </w:r>
    </w:p>
    <w:p w14:paraId="3091F586" w14:textId="0C23FCEA" w:rsidR="00A51774" w:rsidRDefault="00A51774" w:rsidP="00082450">
      <w:pPr>
        <w:spacing w:afterLines="50" w:after="120"/>
        <w:rPr>
          <w:rFonts w:eastAsia="ＭＳ 明朝"/>
          <w:sz w:val="22"/>
          <w:szCs w:val="22"/>
          <w:lang w:val="en-US"/>
        </w:rPr>
      </w:pPr>
      <w:r>
        <w:rPr>
          <w:rFonts w:eastAsia="ＭＳ 明朝"/>
          <w:sz w:val="22"/>
          <w:szCs w:val="22"/>
          <w:lang w:val="en-US"/>
        </w:rPr>
        <w:t>Alt.2 and Alt.3 are signaling optimizations. In these alternatives, number of search space configurations per BWP can be saved compared with Alt.1. However, these alternatives have larger signaling impact.</w:t>
      </w:r>
    </w:p>
    <w:p w14:paraId="5BAA5281" w14:textId="25C1970B" w:rsidR="00A51774" w:rsidRDefault="00A51774" w:rsidP="00082450">
      <w:pPr>
        <w:spacing w:afterLines="50" w:after="120"/>
        <w:rPr>
          <w:rFonts w:eastAsia="ＭＳ 明朝"/>
          <w:sz w:val="22"/>
          <w:szCs w:val="22"/>
          <w:lang w:val="en-US"/>
        </w:rPr>
      </w:pPr>
      <w:r>
        <w:rPr>
          <w:rFonts w:eastAsia="ＭＳ 明朝"/>
          <w:sz w:val="22"/>
          <w:szCs w:val="22"/>
          <w:lang w:val="en-US"/>
        </w:rPr>
        <w:t>We think Alt.1 is preferable in terms of specification impacts.</w:t>
      </w:r>
    </w:p>
    <w:p w14:paraId="6E2C8500" w14:textId="23839A93" w:rsidR="00A51774" w:rsidRDefault="00A51774" w:rsidP="00A51774">
      <w:pPr>
        <w:spacing w:before="120" w:after="120"/>
        <w:rPr>
          <w:rFonts w:eastAsia="Batang"/>
          <w:b/>
          <w:sz w:val="22"/>
          <w:szCs w:val="22"/>
          <w:lang w:eastAsia="ko-KR"/>
        </w:rPr>
      </w:pPr>
      <w:r w:rsidRPr="00E318DE">
        <w:rPr>
          <w:rFonts w:eastAsia="Batang"/>
          <w:b/>
          <w:sz w:val="22"/>
          <w:szCs w:val="22"/>
          <w:u w:val="single"/>
          <w:lang w:eastAsia="ko-KR"/>
        </w:rPr>
        <w:t xml:space="preserve">Proposal </w:t>
      </w:r>
      <w:r w:rsidR="00D87CCF">
        <w:rPr>
          <w:rFonts w:eastAsia="Batang"/>
          <w:b/>
          <w:sz w:val="22"/>
          <w:szCs w:val="22"/>
          <w:u w:val="single"/>
          <w:lang w:eastAsia="ko-KR"/>
        </w:rPr>
        <w:t>4</w:t>
      </w:r>
      <w:r w:rsidRPr="00E318DE">
        <w:rPr>
          <w:rFonts w:eastAsia="Batang"/>
          <w:b/>
          <w:sz w:val="22"/>
          <w:szCs w:val="22"/>
          <w:lang w:eastAsia="ko-KR"/>
        </w:rPr>
        <w:t xml:space="preserve">: </w:t>
      </w:r>
      <w:r>
        <w:rPr>
          <w:rFonts w:eastAsia="Batang"/>
          <w:b/>
          <w:sz w:val="22"/>
          <w:szCs w:val="22"/>
          <w:lang w:eastAsia="ko-KR"/>
        </w:rPr>
        <w:t>According to Rel-15 association rule, search space configuration indicates an associated CORESET ID for wideband operation.</w:t>
      </w:r>
    </w:p>
    <w:p w14:paraId="0ECC384C" w14:textId="1FA855ED" w:rsidR="00A51774" w:rsidRPr="00A51774" w:rsidRDefault="00A51774" w:rsidP="00A51774">
      <w:pPr>
        <w:pStyle w:val="afc"/>
        <w:numPr>
          <w:ilvl w:val="0"/>
          <w:numId w:val="40"/>
        </w:numPr>
        <w:spacing w:afterLines="50" w:after="120"/>
        <w:ind w:leftChars="0"/>
        <w:rPr>
          <w:rFonts w:eastAsia="ＭＳ 明朝"/>
          <w:b/>
          <w:sz w:val="22"/>
          <w:szCs w:val="22"/>
        </w:rPr>
      </w:pPr>
      <w:r w:rsidRPr="00A51774">
        <w:rPr>
          <w:rFonts w:eastAsia="ＭＳ 明朝" w:hint="eastAsia"/>
          <w:b/>
          <w:sz w:val="22"/>
          <w:szCs w:val="22"/>
        </w:rPr>
        <w:t>Maximum number of search space configurations per BWP would need to be increased.</w:t>
      </w:r>
    </w:p>
    <w:p w14:paraId="5EF83B4B" w14:textId="442CEF0C" w:rsidR="00082450" w:rsidRDefault="00082450" w:rsidP="00082450">
      <w:pPr>
        <w:spacing w:afterLines="50" w:after="120"/>
        <w:rPr>
          <w:rFonts w:eastAsia="ＭＳ 明朝"/>
          <w:sz w:val="22"/>
          <w:szCs w:val="22"/>
          <w:lang w:val="en-US"/>
        </w:rPr>
      </w:pPr>
    </w:p>
    <w:p w14:paraId="0ADB6C9D" w14:textId="5C839CD4" w:rsidR="00A51774" w:rsidRDefault="00A51774" w:rsidP="00082450">
      <w:pPr>
        <w:spacing w:afterLines="50" w:after="120"/>
        <w:rPr>
          <w:rFonts w:eastAsia="ＭＳ 明朝"/>
          <w:sz w:val="22"/>
          <w:szCs w:val="22"/>
          <w:lang w:val="en-US"/>
        </w:rPr>
      </w:pPr>
      <w:r>
        <w:rPr>
          <w:rFonts w:eastAsia="ＭＳ 明朝" w:hint="eastAsia"/>
          <w:sz w:val="22"/>
          <w:szCs w:val="22"/>
          <w:lang w:val="en-US"/>
        </w:rPr>
        <w:t xml:space="preserve">For wideband operation Case 2, </w:t>
      </w:r>
      <w:r w:rsidRPr="00A51774">
        <w:rPr>
          <w:rFonts w:eastAsia="ＭＳ 明朝"/>
          <w:sz w:val="22"/>
          <w:szCs w:val="22"/>
          <w:lang w:val="en-US"/>
        </w:rPr>
        <w:t>multiple CORESETs with one or more per LBT bandwidth</w:t>
      </w:r>
      <w:r>
        <w:rPr>
          <w:rFonts w:eastAsia="ＭＳ 明朝"/>
          <w:sz w:val="22"/>
          <w:szCs w:val="22"/>
          <w:lang w:val="en-US"/>
        </w:rPr>
        <w:t xml:space="preserve"> need to be configured. On the other hand, for wideband operation Case 1, single CORESET spanning multiple LBT bandwidths can be configured.</w:t>
      </w:r>
      <w:r w:rsidR="00FE20A6">
        <w:rPr>
          <w:rFonts w:eastAsia="ＭＳ 明朝"/>
          <w:sz w:val="22"/>
          <w:szCs w:val="22"/>
          <w:lang w:val="en-US"/>
        </w:rPr>
        <w:t xml:space="preserve"> Therefore, </w:t>
      </w:r>
      <w:r w:rsidR="00D87CCF">
        <w:rPr>
          <w:rFonts w:eastAsia="ＭＳ 明朝"/>
          <w:sz w:val="22"/>
          <w:szCs w:val="22"/>
          <w:lang w:val="en-US"/>
        </w:rPr>
        <w:t>it may be possible for UE to identify gNB’s wideband operation type based on CORESET configurations.</w:t>
      </w:r>
      <w:r w:rsidR="00CF6898">
        <w:rPr>
          <w:rFonts w:eastAsia="ＭＳ 明朝"/>
          <w:sz w:val="22"/>
          <w:szCs w:val="22"/>
          <w:lang w:val="en-US"/>
        </w:rPr>
        <w:t xml:space="preserve"> Anyway, UE should perform blind detection of PDCCH and/or DMRS on every CORESET.</w:t>
      </w:r>
    </w:p>
    <w:p w14:paraId="735B72E4" w14:textId="3E316FC0" w:rsidR="00D87CCF" w:rsidRDefault="00D87CCF" w:rsidP="00D87CCF">
      <w:pPr>
        <w:spacing w:before="120" w:after="120"/>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5</w:t>
      </w:r>
      <w:r w:rsidRPr="00E318DE">
        <w:rPr>
          <w:rFonts w:eastAsia="Batang"/>
          <w:b/>
          <w:sz w:val="22"/>
          <w:szCs w:val="22"/>
          <w:lang w:eastAsia="ko-KR"/>
        </w:rPr>
        <w:t xml:space="preserve">: </w:t>
      </w:r>
      <w:r w:rsidR="00CF6898">
        <w:rPr>
          <w:rFonts w:eastAsia="Batang"/>
          <w:b/>
          <w:sz w:val="22"/>
          <w:szCs w:val="22"/>
          <w:lang w:eastAsia="ko-KR"/>
        </w:rPr>
        <w:t>Even in case of wideband operation case 1, UE performs blind detection of PDCCH and/or DMRS on CORESET</w:t>
      </w:r>
      <w:r>
        <w:rPr>
          <w:rFonts w:eastAsia="Batang"/>
          <w:b/>
          <w:sz w:val="22"/>
          <w:szCs w:val="22"/>
          <w:lang w:eastAsia="ko-KR"/>
        </w:rPr>
        <w:t>.</w:t>
      </w:r>
    </w:p>
    <w:p w14:paraId="1A01BF1C" w14:textId="77777777" w:rsidR="00A51774" w:rsidRPr="00D87CCF" w:rsidRDefault="00A51774" w:rsidP="00082450">
      <w:pPr>
        <w:spacing w:afterLines="50" w:after="120"/>
        <w:rPr>
          <w:rFonts w:eastAsia="ＭＳ 明朝"/>
          <w:sz w:val="22"/>
          <w:szCs w:val="22"/>
        </w:rPr>
      </w:pPr>
    </w:p>
    <w:p w14:paraId="4C2E19BB" w14:textId="55560169" w:rsidR="00CE7DF9" w:rsidRPr="00CE7DF9" w:rsidRDefault="00CE7DF9" w:rsidP="00CE7DF9"/>
    <w:p w14:paraId="0E6AE862" w14:textId="6758E573" w:rsidR="007D02E5" w:rsidRPr="00CE7DF9" w:rsidRDefault="008A4A93" w:rsidP="00CE7DF9">
      <w:pPr>
        <w:pStyle w:val="1"/>
        <w:numPr>
          <w:ilvl w:val="0"/>
          <w:numId w:val="29"/>
        </w:numPr>
        <w:rPr>
          <w:rFonts w:eastAsia="ＭＳ 明朝"/>
          <w:b/>
          <w:lang w:eastAsia="en-US"/>
        </w:rPr>
      </w:pPr>
      <w:r w:rsidRPr="00CE7DF9">
        <w:rPr>
          <w:rFonts w:eastAsia="ＭＳ 明朝" w:hint="eastAsia"/>
          <w:b/>
          <w:bCs/>
          <w:szCs w:val="24"/>
          <w:lang w:val="en-US"/>
        </w:rPr>
        <w:t>Conclusion</w:t>
      </w:r>
    </w:p>
    <w:p w14:paraId="3661BAE3" w14:textId="75DAF38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AD3D0B">
        <w:rPr>
          <w:rFonts w:eastAsia="ＭＳ 明朝"/>
          <w:sz w:val="22"/>
          <w:szCs w:val="22"/>
          <w:lang w:val="en-US"/>
        </w:rPr>
        <w:t>wideband operation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040B19">
        <w:rPr>
          <w:rFonts w:eastAsia="ＭＳ 明朝"/>
          <w:sz w:val="22"/>
          <w:szCs w:val="22"/>
          <w:lang w:val="en-US"/>
        </w:rPr>
        <w:t>s</w:t>
      </w:r>
      <w:r w:rsidR="00E15F38">
        <w:rPr>
          <w:rFonts w:eastAsia="ＭＳ 明朝" w:hint="eastAsia"/>
          <w:sz w:val="22"/>
          <w:szCs w:val="22"/>
          <w:lang w:val="en-US"/>
        </w:rPr>
        <w:t>.</w:t>
      </w:r>
    </w:p>
    <w:p w14:paraId="111259C1" w14:textId="77777777" w:rsidR="000539BF" w:rsidRPr="00E318DE" w:rsidRDefault="000539BF" w:rsidP="000539BF">
      <w:pPr>
        <w:spacing w:before="120" w:after="120"/>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1</w:t>
      </w:r>
      <w:r w:rsidRPr="00E318DE">
        <w:rPr>
          <w:rFonts w:eastAsia="Batang"/>
          <w:b/>
          <w:sz w:val="22"/>
          <w:szCs w:val="22"/>
          <w:lang w:eastAsia="ko-KR"/>
        </w:rPr>
        <w:t>: For UL wideband operation in NR-U, the operation in which UE transmits the PUSCH in all or a subset of LBT bandwidths of the scheduled PUSCH for which CCA is successful at the UE is deprioritized</w:t>
      </w:r>
      <w:r>
        <w:rPr>
          <w:rFonts w:eastAsia="Batang"/>
          <w:b/>
          <w:sz w:val="22"/>
          <w:szCs w:val="22"/>
          <w:lang w:eastAsia="ko-KR"/>
        </w:rPr>
        <w:t xml:space="preserve"> in Rel-16</w:t>
      </w:r>
      <w:r w:rsidRPr="00E318DE">
        <w:rPr>
          <w:rFonts w:eastAsia="Batang"/>
          <w:b/>
          <w:sz w:val="22"/>
          <w:szCs w:val="22"/>
          <w:lang w:eastAsia="ko-KR"/>
        </w:rPr>
        <w:t>.</w:t>
      </w:r>
    </w:p>
    <w:p w14:paraId="0D12C565" w14:textId="77777777" w:rsidR="000539BF" w:rsidRPr="000040F4" w:rsidRDefault="000539BF" w:rsidP="000539BF">
      <w:pPr>
        <w:spacing w:before="120" w:after="120"/>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2</w:t>
      </w:r>
      <w:r w:rsidRPr="00E318DE">
        <w:rPr>
          <w:rFonts w:eastAsia="Batang"/>
          <w:b/>
          <w:sz w:val="22"/>
          <w:szCs w:val="22"/>
          <w:lang w:eastAsia="ko-KR"/>
        </w:rPr>
        <w:t xml:space="preserve">: </w:t>
      </w:r>
      <w:r>
        <w:rPr>
          <w:rFonts w:eastAsia="Batang"/>
          <w:b/>
          <w:sz w:val="22"/>
          <w:szCs w:val="22"/>
          <w:lang w:eastAsia="ko-KR"/>
        </w:rPr>
        <w:t xml:space="preserve">In case of wideband operation case 2 where </w:t>
      </w:r>
      <w:r w:rsidRPr="00CF6898">
        <w:rPr>
          <w:rFonts w:eastAsia="Batang"/>
          <w:b/>
          <w:sz w:val="22"/>
          <w:szCs w:val="22"/>
          <w:lang w:eastAsia="ko-KR"/>
        </w:rPr>
        <w:t>gNB may transmit PDSCH on part or whole of single active BWP where CCA is successful</w:t>
      </w:r>
      <w:r>
        <w:rPr>
          <w:rFonts w:eastAsia="Batang"/>
          <w:b/>
          <w:sz w:val="22"/>
          <w:szCs w:val="22"/>
          <w:lang w:eastAsia="ko-KR"/>
        </w:rPr>
        <w:t>, UE performs blind detection of PDCCH and/or DMRS on every LBT bandwidth according to CORESET/search space configurations.</w:t>
      </w:r>
    </w:p>
    <w:p w14:paraId="25039DF7" w14:textId="77777777" w:rsidR="000539BF" w:rsidRDefault="000539BF" w:rsidP="000539BF">
      <w:pPr>
        <w:spacing w:before="120" w:after="120"/>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3</w:t>
      </w:r>
      <w:r w:rsidRPr="00E318DE">
        <w:rPr>
          <w:rFonts w:eastAsia="Batang"/>
          <w:b/>
          <w:sz w:val="22"/>
          <w:szCs w:val="22"/>
          <w:lang w:eastAsia="ko-KR"/>
        </w:rPr>
        <w:t xml:space="preserve">: </w:t>
      </w:r>
      <w:r>
        <w:rPr>
          <w:rFonts w:eastAsia="Batang"/>
          <w:b/>
          <w:sz w:val="22"/>
          <w:szCs w:val="22"/>
          <w:lang w:eastAsia="ko-KR"/>
        </w:rPr>
        <w:t>Rel-16 UE reports its capability regarding maximum number of CORESETs with different properties per BWP.</w:t>
      </w:r>
    </w:p>
    <w:p w14:paraId="16CFCC59" w14:textId="77777777" w:rsidR="000539BF" w:rsidRDefault="000539BF" w:rsidP="000539BF">
      <w:pPr>
        <w:pStyle w:val="afc"/>
        <w:numPr>
          <w:ilvl w:val="0"/>
          <w:numId w:val="39"/>
        </w:numPr>
        <w:spacing w:before="120" w:after="120"/>
        <w:ind w:leftChars="0"/>
        <w:rPr>
          <w:rFonts w:eastAsia="Batang"/>
          <w:b/>
          <w:sz w:val="22"/>
          <w:szCs w:val="22"/>
          <w:lang w:eastAsia="ko-KR"/>
        </w:rPr>
      </w:pPr>
      <w:r w:rsidRPr="000E15E6">
        <w:rPr>
          <w:rFonts w:eastAsia="Batang"/>
          <w:b/>
          <w:sz w:val="22"/>
          <w:szCs w:val="22"/>
          <w:lang w:eastAsia="ko-KR"/>
        </w:rPr>
        <w:t>UE is not expected to be configured with larger number of CORESETs with different properties than the reported value</w:t>
      </w:r>
      <w:r>
        <w:rPr>
          <w:rFonts w:eastAsia="Batang"/>
          <w:b/>
          <w:sz w:val="22"/>
          <w:szCs w:val="22"/>
          <w:lang w:eastAsia="ko-KR"/>
        </w:rPr>
        <w:t>.</w:t>
      </w:r>
    </w:p>
    <w:p w14:paraId="3CDF2DFA" w14:textId="77777777" w:rsidR="000539BF" w:rsidRPr="000E15E6" w:rsidRDefault="000539BF" w:rsidP="000539BF">
      <w:pPr>
        <w:pStyle w:val="afc"/>
        <w:numPr>
          <w:ilvl w:val="0"/>
          <w:numId w:val="39"/>
        </w:numPr>
        <w:spacing w:before="120" w:after="120"/>
        <w:ind w:leftChars="0"/>
        <w:rPr>
          <w:rFonts w:eastAsia="Batang"/>
          <w:b/>
          <w:sz w:val="22"/>
          <w:szCs w:val="22"/>
          <w:lang w:eastAsia="ko-KR"/>
        </w:rPr>
      </w:pPr>
      <w:r>
        <w:rPr>
          <w:rFonts w:eastAsia="Batang"/>
          <w:b/>
          <w:sz w:val="22"/>
          <w:szCs w:val="22"/>
          <w:lang w:eastAsia="ko-KR"/>
        </w:rPr>
        <w:t>UE capability on support of wideband operation case 2 can also be reported, and UE supporting wideband operation case 2 shall support up to [5] CORESETs per BWP.</w:t>
      </w:r>
    </w:p>
    <w:p w14:paraId="0625160F" w14:textId="77777777" w:rsidR="000539BF" w:rsidRDefault="000539BF" w:rsidP="000539BF">
      <w:pPr>
        <w:spacing w:before="120" w:after="120"/>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4</w:t>
      </w:r>
      <w:r w:rsidRPr="00E318DE">
        <w:rPr>
          <w:rFonts w:eastAsia="Batang"/>
          <w:b/>
          <w:sz w:val="22"/>
          <w:szCs w:val="22"/>
          <w:lang w:eastAsia="ko-KR"/>
        </w:rPr>
        <w:t xml:space="preserve">: </w:t>
      </w:r>
      <w:r>
        <w:rPr>
          <w:rFonts w:eastAsia="Batang"/>
          <w:b/>
          <w:sz w:val="22"/>
          <w:szCs w:val="22"/>
          <w:lang w:eastAsia="ko-KR"/>
        </w:rPr>
        <w:t>According to Rel-15 association rule, search space configuration indicates an associated CORESET ID for wideband operation.</w:t>
      </w:r>
    </w:p>
    <w:p w14:paraId="57CBFB57" w14:textId="77777777" w:rsidR="000539BF" w:rsidRPr="00A51774" w:rsidRDefault="000539BF" w:rsidP="000539BF">
      <w:pPr>
        <w:pStyle w:val="afc"/>
        <w:numPr>
          <w:ilvl w:val="0"/>
          <w:numId w:val="40"/>
        </w:numPr>
        <w:spacing w:afterLines="50" w:after="120"/>
        <w:ind w:leftChars="0"/>
        <w:rPr>
          <w:rFonts w:eastAsia="ＭＳ 明朝"/>
          <w:b/>
          <w:sz w:val="22"/>
          <w:szCs w:val="22"/>
        </w:rPr>
      </w:pPr>
      <w:r w:rsidRPr="00A51774">
        <w:rPr>
          <w:rFonts w:eastAsia="ＭＳ 明朝" w:hint="eastAsia"/>
          <w:b/>
          <w:sz w:val="22"/>
          <w:szCs w:val="22"/>
        </w:rPr>
        <w:t>Maximum number of search space configurations per BWP would need to be increased.</w:t>
      </w:r>
    </w:p>
    <w:p w14:paraId="4128968F" w14:textId="77777777" w:rsidR="000539BF" w:rsidRPr="000539BF" w:rsidRDefault="000539BF" w:rsidP="000539BF">
      <w:pPr>
        <w:spacing w:before="120" w:after="120"/>
        <w:rPr>
          <w:rFonts w:eastAsia="Batang"/>
          <w:b/>
          <w:sz w:val="22"/>
          <w:szCs w:val="22"/>
          <w:lang w:eastAsia="ko-KR"/>
        </w:rPr>
      </w:pPr>
      <w:r w:rsidRPr="000539BF">
        <w:rPr>
          <w:rFonts w:eastAsia="Batang"/>
          <w:b/>
          <w:sz w:val="22"/>
          <w:szCs w:val="22"/>
          <w:u w:val="single"/>
          <w:lang w:eastAsia="ko-KR"/>
        </w:rPr>
        <w:t>Proposal 5</w:t>
      </w:r>
      <w:r w:rsidRPr="000539BF">
        <w:rPr>
          <w:rFonts w:eastAsia="Batang"/>
          <w:b/>
          <w:sz w:val="22"/>
          <w:szCs w:val="22"/>
          <w:lang w:eastAsia="ko-KR"/>
        </w:rPr>
        <w:t>: Even in case of wideband operation case 1, UE performs blind detection of PDCCH and/or DMRS on CORESET.</w:t>
      </w:r>
    </w:p>
    <w:p w14:paraId="21187D7A" w14:textId="77777777" w:rsidR="00241088" w:rsidRPr="000539BF" w:rsidRDefault="00241088" w:rsidP="00FD306A">
      <w:pPr>
        <w:spacing w:before="120" w:after="120"/>
        <w:rPr>
          <w:rFonts w:eastAsia="Batang"/>
          <w:b/>
          <w:sz w:val="22"/>
          <w:szCs w:val="22"/>
          <w:u w:val="single"/>
          <w:lang w:eastAsia="ko-KR"/>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AAE3F3B" w14:textId="77777777" w:rsidR="006D0257" w:rsidRDefault="006D0257" w:rsidP="006D0257">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7</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May</w:t>
      </w:r>
      <w:r>
        <w:rPr>
          <w:rFonts w:eastAsia="ＭＳ 明朝"/>
          <w:sz w:val="22"/>
        </w:rPr>
        <w:t xml:space="preserve"> 2019.</w:t>
      </w:r>
    </w:p>
    <w:p w14:paraId="09BCAC7A" w14:textId="77777777" w:rsidR="006D0257" w:rsidRPr="00141ABF" w:rsidRDefault="006D0257" w:rsidP="006D0257">
      <w:pPr>
        <w:pStyle w:val="afc"/>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38D9E253" w14:textId="6A2DCBDE" w:rsidR="007258BB" w:rsidRPr="007258BB" w:rsidRDefault="008D58DD" w:rsidP="007258BB">
      <w:pPr>
        <w:pStyle w:val="afc"/>
        <w:numPr>
          <w:ilvl w:val="0"/>
          <w:numId w:val="4"/>
        </w:numPr>
        <w:ind w:leftChars="0"/>
        <w:rPr>
          <w:rFonts w:eastAsia="ＭＳ 明朝"/>
          <w:sz w:val="22"/>
        </w:rPr>
      </w:pPr>
      <w:r>
        <w:rPr>
          <w:rFonts w:eastAsia="ＭＳ 明朝" w:hint="eastAsia"/>
          <w:sz w:val="22"/>
        </w:rPr>
        <w:t>3GPP, R1-19</w:t>
      </w:r>
      <w:r w:rsidR="00D763BC">
        <w:rPr>
          <w:rFonts w:eastAsia="ＭＳ 明朝"/>
          <w:sz w:val="22"/>
        </w:rPr>
        <w:t>09175</w:t>
      </w:r>
      <w:bookmarkStart w:id="2" w:name="_GoBack"/>
      <w:bookmarkEnd w:id="2"/>
      <w:r>
        <w:rPr>
          <w:rFonts w:eastAsia="ＭＳ 明朝"/>
          <w:sz w:val="22"/>
        </w:rPr>
        <w:t>, NTT DOCOMO, INC., “DL signals and channels for NR-U,” Aug. 2019.</w:t>
      </w:r>
    </w:p>
    <w:p w14:paraId="2884D549" w14:textId="70E268C3" w:rsidR="00485AAF" w:rsidRDefault="00485AAF" w:rsidP="007258BB">
      <w:pPr>
        <w:pStyle w:val="afc"/>
        <w:spacing w:afterLines="50" w:after="120"/>
        <w:ind w:leftChars="0" w:left="420"/>
        <w:jc w:val="both"/>
        <w:rPr>
          <w:rFonts w:eastAsia="ＭＳ 明朝"/>
          <w:sz w:val="22"/>
        </w:rPr>
      </w:pPr>
    </w:p>
    <w:sectPr w:rsidR="00485AA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6AC58" w14:textId="77777777" w:rsidR="0021532E" w:rsidRDefault="0021532E">
      <w:r>
        <w:separator/>
      </w:r>
    </w:p>
  </w:endnote>
  <w:endnote w:type="continuationSeparator" w:id="0">
    <w:p w14:paraId="45C3D6E4" w14:textId="77777777" w:rsidR="0021532E" w:rsidRDefault="0021532E">
      <w:r>
        <w:continuationSeparator/>
      </w:r>
    </w:p>
  </w:endnote>
  <w:endnote w:type="continuationNotice" w:id="1">
    <w:p w14:paraId="7CDB9D0C" w14:textId="77777777" w:rsidR="0021532E" w:rsidRDefault="00215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25774E5"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763B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763BC">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AE82D" w14:textId="77777777" w:rsidR="0021532E" w:rsidRDefault="0021532E">
      <w:r>
        <w:separator/>
      </w:r>
    </w:p>
  </w:footnote>
  <w:footnote w:type="continuationSeparator" w:id="0">
    <w:p w14:paraId="3FCC5F07" w14:textId="77777777" w:rsidR="0021532E" w:rsidRDefault="0021532E">
      <w:r>
        <w:continuationSeparator/>
      </w:r>
    </w:p>
  </w:footnote>
  <w:footnote w:type="continuationNotice" w:id="1">
    <w:p w14:paraId="59FF851C" w14:textId="77777777" w:rsidR="0021532E" w:rsidRDefault="002153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A92B90"/>
    <w:multiLevelType w:val="hybridMultilevel"/>
    <w:tmpl w:val="FB50E652"/>
    <w:lvl w:ilvl="0" w:tplc="C3EE05D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1D5007"/>
    <w:multiLevelType w:val="hybridMultilevel"/>
    <w:tmpl w:val="DE24B834"/>
    <w:lvl w:ilvl="0" w:tplc="3170E59C">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CC21BF"/>
    <w:multiLevelType w:val="hybridMultilevel"/>
    <w:tmpl w:val="AC7A3A4E"/>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04728E"/>
    <w:multiLevelType w:val="hybridMultilevel"/>
    <w:tmpl w:val="F7A8A778"/>
    <w:lvl w:ilvl="0" w:tplc="2B466B5E">
      <w:start w:val="1"/>
      <w:numFmt w:val="bullet"/>
      <w:lvlText w:val="–"/>
      <w:lvlJc w:val="left"/>
      <w:pPr>
        <w:tabs>
          <w:tab w:val="num" w:pos="720"/>
        </w:tabs>
        <w:ind w:left="720" w:hanging="360"/>
      </w:pPr>
      <w:rPr>
        <w:rFonts w:ascii="ＭＳ Ｐゴシック" w:hAnsi="ＭＳ Ｐゴシック" w:hint="default"/>
      </w:rPr>
    </w:lvl>
    <w:lvl w:ilvl="1" w:tplc="8A9E7128">
      <w:start w:val="1"/>
      <w:numFmt w:val="bullet"/>
      <w:lvlText w:val="–"/>
      <w:lvlJc w:val="left"/>
      <w:pPr>
        <w:tabs>
          <w:tab w:val="num" w:pos="1440"/>
        </w:tabs>
        <w:ind w:left="1440" w:hanging="360"/>
      </w:pPr>
      <w:rPr>
        <w:rFonts w:ascii="ＭＳ Ｐゴシック" w:hAnsi="ＭＳ Ｐゴシック" w:hint="default"/>
      </w:rPr>
    </w:lvl>
    <w:lvl w:ilvl="2" w:tplc="8BC0E2CC" w:tentative="1">
      <w:start w:val="1"/>
      <w:numFmt w:val="bullet"/>
      <w:lvlText w:val="–"/>
      <w:lvlJc w:val="left"/>
      <w:pPr>
        <w:tabs>
          <w:tab w:val="num" w:pos="2160"/>
        </w:tabs>
        <w:ind w:left="2160" w:hanging="360"/>
      </w:pPr>
      <w:rPr>
        <w:rFonts w:ascii="ＭＳ Ｐゴシック" w:hAnsi="ＭＳ Ｐゴシック" w:hint="default"/>
      </w:rPr>
    </w:lvl>
    <w:lvl w:ilvl="3" w:tplc="55D090E2" w:tentative="1">
      <w:start w:val="1"/>
      <w:numFmt w:val="bullet"/>
      <w:lvlText w:val="–"/>
      <w:lvlJc w:val="left"/>
      <w:pPr>
        <w:tabs>
          <w:tab w:val="num" w:pos="2880"/>
        </w:tabs>
        <w:ind w:left="2880" w:hanging="360"/>
      </w:pPr>
      <w:rPr>
        <w:rFonts w:ascii="ＭＳ Ｐゴシック" w:hAnsi="ＭＳ Ｐゴシック" w:hint="default"/>
      </w:rPr>
    </w:lvl>
    <w:lvl w:ilvl="4" w:tplc="A1A27212" w:tentative="1">
      <w:start w:val="1"/>
      <w:numFmt w:val="bullet"/>
      <w:lvlText w:val="–"/>
      <w:lvlJc w:val="left"/>
      <w:pPr>
        <w:tabs>
          <w:tab w:val="num" w:pos="3600"/>
        </w:tabs>
        <w:ind w:left="3600" w:hanging="360"/>
      </w:pPr>
      <w:rPr>
        <w:rFonts w:ascii="ＭＳ Ｐゴシック" w:hAnsi="ＭＳ Ｐゴシック" w:hint="default"/>
      </w:rPr>
    </w:lvl>
    <w:lvl w:ilvl="5" w:tplc="A2007B78" w:tentative="1">
      <w:start w:val="1"/>
      <w:numFmt w:val="bullet"/>
      <w:lvlText w:val="–"/>
      <w:lvlJc w:val="left"/>
      <w:pPr>
        <w:tabs>
          <w:tab w:val="num" w:pos="4320"/>
        </w:tabs>
        <w:ind w:left="4320" w:hanging="360"/>
      </w:pPr>
      <w:rPr>
        <w:rFonts w:ascii="ＭＳ Ｐゴシック" w:hAnsi="ＭＳ Ｐゴシック" w:hint="default"/>
      </w:rPr>
    </w:lvl>
    <w:lvl w:ilvl="6" w:tplc="26ACD8C6" w:tentative="1">
      <w:start w:val="1"/>
      <w:numFmt w:val="bullet"/>
      <w:lvlText w:val="–"/>
      <w:lvlJc w:val="left"/>
      <w:pPr>
        <w:tabs>
          <w:tab w:val="num" w:pos="5040"/>
        </w:tabs>
        <w:ind w:left="5040" w:hanging="360"/>
      </w:pPr>
      <w:rPr>
        <w:rFonts w:ascii="ＭＳ Ｐゴシック" w:hAnsi="ＭＳ Ｐゴシック" w:hint="default"/>
      </w:rPr>
    </w:lvl>
    <w:lvl w:ilvl="7" w:tplc="DACC71C8" w:tentative="1">
      <w:start w:val="1"/>
      <w:numFmt w:val="bullet"/>
      <w:lvlText w:val="–"/>
      <w:lvlJc w:val="left"/>
      <w:pPr>
        <w:tabs>
          <w:tab w:val="num" w:pos="5760"/>
        </w:tabs>
        <w:ind w:left="5760" w:hanging="360"/>
      </w:pPr>
      <w:rPr>
        <w:rFonts w:ascii="ＭＳ Ｐゴシック" w:hAnsi="ＭＳ Ｐゴシック" w:hint="default"/>
      </w:rPr>
    </w:lvl>
    <w:lvl w:ilvl="8" w:tplc="841ED91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8A7D9B"/>
    <w:multiLevelType w:val="hybridMultilevel"/>
    <w:tmpl w:val="DD827D68"/>
    <w:lvl w:ilvl="0" w:tplc="C3EE05DA">
      <w:start w:val="1"/>
      <w:numFmt w:val="bullet"/>
      <w:lvlText w:val="•"/>
      <w:lvlJc w:val="left"/>
      <w:pPr>
        <w:tabs>
          <w:tab w:val="num" w:pos="720"/>
        </w:tabs>
        <w:ind w:left="720" w:hanging="360"/>
      </w:pPr>
      <w:rPr>
        <w:rFonts w:ascii="Arial" w:hAnsi="Arial" w:hint="default"/>
      </w:rPr>
    </w:lvl>
    <w:lvl w:ilvl="1" w:tplc="BC1C3080">
      <w:numFmt w:val="bullet"/>
      <w:lvlText w:val="-"/>
      <w:lvlJc w:val="left"/>
      <w:pPr>
        <w:ind w:left="1440" w:hanging="360"/>
      </w:pPr>
      <w:rPr>
        <w:rFonts w:ascii="Times New Roman" w:eastAsia="Batang" w:hAnsi="Times New Roman" w:cs="Times New Roman"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E6601"/>
    <w:multiLevelType w:val="hybridMultilevel"/>
    <w:tmpl w:val="ED30FA62"/>
    <w:lvl w:ilvl="0" w:tplc="81D8CC46">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F72DC1"/>
    <w:multiLevelType w:val="hybridMultilevel"/>
    <w:tmpl w:val="FCA8433E"/>
    <w:lvl w:ilvl="0" w:tplc="C3EE05D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F733A3"/>
    <w:multiLevelType w:val="hybridMultilevel"/>
    <w:tmpl w:val="8848C6A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1F1C15"/>
    <w:multiLevelType w:val="hybridMultilevel"/>
    <w:tmpl w:val="FDF8CAB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8D67E0"/>
    <w:multiLevelType w:val="hybridMultilevel"/>
    <w:tmpl w:val="A95A7EB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9873FF"/>
    <w:multiLevelType w:val="hybridMultilevel"/>
    <w:tmpl w:val="975AD3B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A36F34"/>
    <w:multiLevelType w:val="hybridMultilevel"/>
    <w:tmpl w:val="5B1A817E"/>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D6748"/>
    <w:multiLevelType w:val="hybridMultilevel"/>
    <w:tmpl w:val="F9164F0C"/>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6"/>
  </w:num>
  <w:num w:numId="4">
    <w:abstractNumId w:val="9"/>
  </w:num>
  <w:num w:numId="5">
    <w:abstractNumId w:val="38"/>
  </w:num>
  <w:num w:numId="6">
    <w:abstractNumId w:val="27"/>
  </w:num>
  <w:num w:numId="7">
    <w:abstractNumId w:val="37"/>
  </w:num>
  <w:num w:numId="8">
    <w:abstractNumId w:val="6"/>
  </w:num>
  <w:num w:numId="9">
    <w:abstractNumId w:val="23"/>
  </w:num>
  <w:num w:numId="10">
    <w:abstractNumId w:val="14"/>
  </w:num>
  <w:num w:numId="11">
    <w:abstractNumId w:val="28"/>
  </w:num>
  <w:num w:numId="12">
    <w:abstractNumId w:val="35"/>
  </w:num>
  <w:num w:numId="13">
    <w:abstractNumId w:val="33"/>
  </w:num>
  <w:num w:numId="14">
    <w:abstractNumId w:val="34"/>
  </w:num>
  <w:num w:numId="15">
    <w:abstractNumId w:val="32"/>
  </w:num>
  <w:num w:numId="16">
    <w:abstractNumId w:val="5"/>
  </w:num>
  <w:num w:numId="17">
    <w:abstractNumId w:val="17"/>
  </w:num>
  <w:num w:numId="18">
    <w:abstractNumId w:val="18"/>
  </w:num>
  <w:num w:numId="19">
    <w:abstractNumId w:val="3"/>
  </w:num>
  <w:num w:numId="20">
    <w:abstractNumId w:val="7"/>
  </w:num>
  <w:num w:numId="21">
    <w:abstractNumId w:val="13"/>
  </w:num>
  <w:num w:numId="22">
    <w:abstractNumId w:val="20"/>
  </w:num>
  <w:num w:numId="23">
    <w:abstractNumId w:val="25"/>
  </w:num>
  <w:num w:numId="24">
    <w:abstractNumId w:val="24"/>
  </w:num>
  <w:num w:numId="25">
    <w:abstractNumId w:val="2"/>
  </w:num>
  <w:num w:numId="26">
    <w:abstractNumId w:val="4"/>
  </w:num>
  <w:num w:numId="27">
    <w:abstractNumId w:val="29"/>
  </w:num>
  <w:num w:numId="28">
    <w:abstractNumId w:val="12"/>
  </w:num>
  <w:num w:numId="29">
    <w:abstractNumId w:val="21"/>
  </w:num>
  <w:num w:numId="30">
    <w:abstractNumId w:val="36"/>
  </w:num>
  <w:num w:numId="31">
    <w:abstractNumId w:val="22"/>
  </w:num>
  <w:num w:numId="32">
    <w:abstractNumId w:val="19"/>
  </w:num>
  <w:num w:numId="33">
    <w:abstractNumId w:val="10"/>
  </w:num>
  <w:num w:numId="34">
    <w:abstractNumId w:val="30"/>
  </w:num>
  <w:num w:numId="35">
    <w:abstractNumId w:val="26"/>
  </w:num>
  <w:num w:numId="36">
    <w:abstractNumId w:val="11"/>
  </w:num>
  <w:num w:numId="37">
    <w:abstractNumId w:val="39"/>
  </w:num>
  <w:num w:numId="38">
    <w:abstractNumId w:val="8"/>
  </w:num>
  <w:num w:numId="39">
    <w:abstractNumId w:val="1"/>
  </w:num>
  <w:num w:numId="4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83D"/>
    <w:rsid w:val="00002938"/>
    <w:rsid w:val="00002AFC"/>
    <w:rsid w:val="00002E18"/>
    <w:rsid w:val="0000343D"/>
    <w:rsid w:val="00003973"/>
    <w:rsid w:val="00003A56"/>
    <w:rsid w:val="00003AE4"/>
    <w:rsid w:val="00003B06"/>
    <w:rsid w:val="00003F7F"/>
    <w:rsid w:val="000040F4"/>
    <w:rsid w:val="000041B5"/>
    <w:rsid w:val="000044B4"/>
    <w:rsid w:val="00004C7C"/>
    <w:rsid w:val="00004DDA"/>
    <w:rsid w:val="0000530F"/>
    <w:rsid w:val="00005493"/>
    <w:rsid w:val="00005541"/>
    <w:rsid w:val="00005B74"/>
    <w:rsid w:val="00005C60"/>
    <w:rsid w:val="0000600D"/>
    <w:rsid w:val="00006248"/>
    <w:rsid w:val="00006D37"/>
    <w:rsid w:val="000070BF"/>
    <w:rsid w:val="00007533"/>
    <w:rsid w:val="000075B2"/>
    <w:rsid w:val="00007AD6"/>
    <w:rsid w:val="00007B5C"/>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C99"/>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B19"/>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A96"/>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9BF"/>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69"/>
    <w:rsid w:val="00057C70"/>
    <w:rsid w:val="00057F42"/>
    <w:rsid w:val="00057F5E"/>
    <w:rsid w:val="0006006F"/>
    <w:rsid w:val="00060523"/>
    <w:rsid w:val="00060D60"/>
    <w:rsid w:val="00060E40"/>
    <w:rsid w:val="00060F19"/>
    <w:rsid w:val="0006106B"/>
    <w:rsid w:val="00061140"/>
    <w:rsid w:val="000614A4"/>
    <w:rsid w:val="000616EA"/>
    <w:rsid w:val="00061B4B"/>
    <w:rsid w:val="000626A3"/>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5B0"/>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0BD"/>
    <w:rsid w:val="00081532"/>
    <w:rsid w:val="00081697"/>
    <w:rsid w:val="00081714"/>
    <w:rsid w:val="00081C3F"/>
    <w:rsid w:val="00081C52"/>
    <w:rsid w:val="00081FAB"/>
    <w:rsid w:val="0008201A"/>
    <w:rsid w:val="00082450"/>
    <w:rsid w:val="00082A22"/>
    <w:rsid w:val="00082C00"/>
    <w:rsid w:val="00082E51"/>
    <w:rsid w:val="00083306"/>
    <w:rsid w:val="00083382"/>
    <w:rsid w:val="000834F3"/>
    <w:rsid w:val="000835BC"/>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40"/>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35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A37"/>
    <w:rsid w:val="000B0DB3"/>
    <w:rsid w:val="000B1298"/>
    <w:rsid w:val="000B16EB"/>
    <w:rsid w:val="000B1BDB"/>
    <w:rsid w:val="000B244F"/>
    <w:rsid w:val="000B2B16"/>
    <w:rsid w:val="000B35F4"/>
    <w:rsid w:val="000B390A"/>
    <w:rsid w:val="000B4059"/>
    <w:rsid w:val="000B442C"/>
    <w:rsid w:val="000B46A2"/>
    <w:rsid w:val="000B49F2"/>
    <w:rsid w:val="000B4E07"/>
    <w:rsid w:val="000B4E81"/>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17"/>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5E6"/>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656"/>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3CC6"/>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2F23"/>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790"/>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AC8"/>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3A"/>
    <w:rsid w:val="00143B01"/>
    <w:rsid w:val="00143DBE"/>
    <w:rsid w:val="0014415F"/>
    <w:rsid w:val="00144294"/>
    <w:rsid w:val="0014491B"/>
    <w:rsid w:val="00144EE2"/>
    <w:rsid w:val="0014501E"/>
    <w:rsid w:val="00145072"/>
    <w:rsid w:val="001450AD"/>
    <w:rsid w:val="001456A7"/>
    <w:rsid w:val="001457A0"/>
    <w:rsid w:val="00145F02"/>
    <w:rsid w:val="001460DE"/>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E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C04"/>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30"/>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2D11"/>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333"/>
    <w:rsid w:val="00205C3E"/>
    <w:rsid w:val="00205C47"/>
    <w:rsid w:val="00206217"/>
    <w:rsid w:val="0020637C"/>
    <w:rsid w:val="00206598"/>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BD8"/>
    <w:rsid w:val="002122BB"/>
    <w:rsid w:val="00212447"/>
    <w:rsid w:val="00212557"/>
    <w:rsid w:val="00212805"/>
    <w:rsid w:val="00214338"/>
    <w:rsid w:val="0021460B"/>
    <w:rsid w:val="00214F2E"/>
    <w:rsid w:val="00215106"/>
    <w:rsid w:val="0021532E"/>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088"/>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A5"/>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7EE"/>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3DB3"/>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81C"/>
    <w:rsid w:val="002A1A23"/>
    <w:rsid w:val="002A1C9F"/>
    <w:rsid w:val="002A1E4B"/>
    <w:rsid w:val="002A225A"/>
    <w:rsid w:val="002A2591"/>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0F2"/>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B86"/>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BC6"/>
    <w:rsid w:val="002F3C95"/>
    <w:rsid w:val="002F44A6"/>
    <w:rsid w:val="002F4541"/>
    <w:rsid w:val="002F4AB3"/>
    <w:rsid w:val="002F4F8C"/>
    <w:rsid w:val="002F591D"/>
    <w:rsid w:val="002F6001"/>
    <w:rsid w:val="002F63DA"/>
    <w:rsid w:val="002F65D7"/>
    <w:rsid w:val="002F6B38"/>
    <w:rsid w:val="002F6EE2"/>
    <w:rsid w:val="002F7955"/>
    <w:rsid w:val="00300392"/>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5E15"/>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2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BB1"/>
    <w:rsid w:val="00343FD4"/>
    <w:rsid w:val="003440F9"/>
    <w:rsid w:val="00344149"/>
    <w:rsid w:val="003442F3"/>
    <w:rsid w:val="00344430"/>
    <w:rsid w:val="003447F4"/>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D32"/>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81B"/>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272"/>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16F"/>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87"/>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3F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02E"/>
    <w:rsid w:val="003F42D6"/>
    <w:rsid w:val="003F448A"/>
    <w:rsid w:val="003F4CA0"/>
    <w:rsid w:val="003F4D1B"/>
    <w:rsid w:val="003F4D3E"/>
    <w:rsid w:val="003F57D4"/>
    <w:rsid w:val="003F5922"/>
    <w:rsid w:val="003F5BB3"/>
    <w:rsid w:val="003F5D1D"/>
    <w:rsid w:val="003F6365"/>
    <w:rsid w:val="003F64A2"/>
    <w:rsid w:val="003F6745"/>
    <w:rsid w:val="003F67C0"/>
    <w:rsid w:val="003F71AB"/>
    <w:rsid w:val="003F72E0"/>
    <w:rsid w:val="003F73D8"/>
    <w:rsid w:val="003F7789"/>
    <w:rsid w:val="003F7995"/>
    <w:rsid w:val="003F79C4"/>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B09"/>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38"/>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3E3"/>
    <w:rsid w:val="00452841"/>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3F22"/>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AAF"/>
    <w:rsid w:val="00485B60"/>
    <w:rsid w:val="00485B9E"/>
    <w:rsid w:val="00485D81"/>
    <w:rsid w:val="00486042"/>
    <w:rsid w:val="004860E7"/>
    <w:rsid w:val="00486728"/>
    <w:rsid w:val="0048677C"/>
    <w:rsid w:val="00486858"/>
    <w:rsid w:val="00486BBB"/>
    <w:rsid w:val="00486F48"/>
    <w:rsid w:val="00487507"/>
    <w:rsid w:val="00490150"/>
    <w:rsid w:val="004902B6"/>
    <w:rsid w:val="004904E5"/>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9EE"/>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03"/>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5B2"/>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25"/>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B6D"/>
    <w:rsid w:val="00516D44"/>
    <w:rsid w:val="00516D84"/>
    <w:rsid w:val="005171FE"/>
    <w:rsid w:val="00517278"/>
    <w:rsid w:val="005173D2"/>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2AB"/>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AB6"/>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9C0"/>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1F9"/>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3C"/>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2A7B"/>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6C6"/>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C4A"/>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2"/>
    <w:rsid w:val="00606635"/>
    <w:rsid w:val="006066F1"/>
    <w:rsid w:val="006067F8"/>
    <w:rsid w:val="006068FE"/>
    <w:rsid w:val="00606DC5"/>
    <w:rsid w:val="00607067"/>
    <w:rsid w:val="0060709D"/>
    <w:rsid w:val="006073F6"/>
    <w:rsid w:val="006074C7"/>
    <w:rsid w:val="00607B57"/>
    <w:rsid w:val="00607C44"/>
    <w:rsid w:val="00607E4C"/>
    <w:rsid w:val="006100EF"/>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EA6"/>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C56"/>
    <w:rsid w:val="00634D3D"/>
    <w:rsid w:val="00634F15"/>
    <w:rsid w:val="00635B79"/>
    <w:rsid w:val="00636464"/>
    <w:rsid w:val="0063666B"/>
    <w:rsid w:val="00636A27"/>
    <w:rsid w:val="006372B6"/>
    <w:rsid w:val="00637669"/>
    <w:rsid w:val="006377C8"/>
    <w:rsid w:val="00637EBC"/>
    <w:rsid w:val="00640054"/>
    <w:rsid w:val="0064014C"/>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481"/>
    <w:rsid w:val="00644602"/>
    <w:rsid w:val="006446FC"/>
    <w:rsid w:val="00644FFB"/>
    <w:rsid w:val="00645305"/>
    <w:rsid w:val="00645609"/>
    <w:rsid w:val="00645866"/>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0AA"/>
    <w:rsid w:val="0065769A"/>
    <w:rsid w:val="00657BC5"/>
    <w:rsid w:val="00660112"/>
    <w:rsid w:val="0066020C"/>
    <w:rsid w:val="0066083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C8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57"/>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57"/>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6A"/>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B6"/>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199"/>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2F5"/>
    <w:rsid w:val="0072496E"/>
    <w:rsid w:val="007249E6"/>
    <w:rsid w:val="00724A7D"/>
    <w:rsid w:val="00724A83"/>
    <w:rsid w:val="00724C01"/>
    <w:rsid w:val="007255AE"/>
    <w:rsid w:val="0072561F"/>
    <w:rsid w:val="00725639"/>
    <w:rsid w:val="007256F4"/>
    <w:rsid w:val="007258BB"/>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E71"/>
    <w:rsid w:val="00733219"/>
    <w:rsid w:val="007334A3"/>
    <w:rsid w:val="007334C5"/>
    <w:rsid w:val="00733A14"/>
    <w:rsid w:val="00734A5A"/>
    <w:rsid w:val="00734B26"/>
    <w:rsid w:val="00734D12"/>
    <w:rsid w:val="0073516F"/>
    <w:rsid w:val="007352C7"/>
    <w:rsid w:val="007353C9"/>
    <w:rsid w:val="00735E69"/>
    <w:rsid w:val="00736871"/>
    <w:rsid w:val="00736888"/>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8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44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030"/>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77DDB"/>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3A6"/>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D22"/>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49"/>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CA3"/>
    <w:rsid w:val="007E3DBB"/>
    <w:rsid w:val="007E3F3D"/>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011"/>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5F31"/>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644"/>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541"/>
    <w:rsid w:val="00843888"/>
    <w:rsid w:val="00843938"/>
    <w:rsid w:val="00843959"/>
    <w:rsid w:val="0084420C"/>
    <w:rsid w:val="0084466C"/>
    <w:rsid w:val="00845031"/>
    <w:rsid w:val="00845502"/>
    <w:rsid w:val="0084562C"/>
    <w:rsid w:val="00845D6E"/>
    <w:rsid w:val="00846242"/>
    <w:rsid w:val="00846A1E"/>
    <w:rsid w:val="00846B59"/>
    <w:rsid w:val="00846E56"/>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4B6E"/>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7E1"/>
    <w:rsid w:val="008729B7"/>
    <w:rsid w:val="00872DD7"/>
    <w:rsid w:val="00872E62"/>
    <w:rsid w:val="00873025"/>
    <w:rsid w:val="00873523"/>
    <w:rsid w:val="00873540"/>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543"/>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FB0"/>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AD1"/>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7DC"/>
    <w:rsid w:val="008B5BB8"/>
    <w:rsid w:val="008B5CC6"/>
    <w:rsid w:val="008B5DE1"/>
    <w:rsid w:val="008B6087"/>
    <w:rsid w:val="008B62BE"/>
    <w:rsid w:val="008B63FE"/>
    <w:rsid w:val="008B66BF"/>
    <w:rsid w:val="008B6C52"/>
    <w:rsid w:val="008B7085"/>
    <w:rsid w:val="008B7102"/>
    <w:rsid w:val="008B7309"/>
    <w:rsid w:val="008B747D"/>
    <w:rsid w:val="008B74B5"/>
    <w:rsid w:val="008B74BE"/>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58DD"/>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2B"/>
    <w:rsid w:val="008E396B"/>
    <w:rsid w:val="008E3A6B"/>
    <w:rsid w:val="008E3AB4"/>
    <w:rsid w:val="008E3EA3"/>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12"/>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3D9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5EE"/>
    <w:rsid w:val="0095166F"/>
    <w:rsid w:val="009517C5"/>
    <w:rsid w:val="0095187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0E"/>
    <w:rsid w:val="009763B2"/>
    <w:rsid w:val="009764FD"/>
    <w:rsid w:val="0097661B"/>
    <w:rsid w:val="00976AC6"/>
    <w:rsid w:val="00976BCF"/>
    <w:rsid w:val="009770BE"/>
    <w:rsid w:val="009770C1"/>
    <w:rsid w:val="00977C08"/>
    <w:rsid w:val="00977CCB"/>
    <w:rsid w:val="00977D9D"/>
    <w:rsid w:val="00980834"/>
    <w:rsid w:val="009809E7"/>
    <w:rsid w:val="00980EF2"/>
    <w:rsid w:val="0098123F"/>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90"/>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23"/>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4F0F"/>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420"/>
    <w:rsid w:val="009E09C9"/>
    <w:rsid w:val="009E0E4D"/>
    <w:rsid w:val="009E1528"/>
    <w:rsid w:val="009E191D"/>
    <w:rsid w:val="009E19B0"/>
    <w:rsid w:val="009E19B3"/>
    <w:rsid w:val="009E1B70"/>
    <w:rsid w:val="009E1E77"/>
    <w:rsid w:val="009E226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9F"/>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F9D"/>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82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7B1"/>
    <w:rsid w:val="00A44808"/>
    <w:rsid w:val="00A44BA6"/>
    <w:rsid w:val="00A452E6"/>
    <w:rsid w:val="00A452ED"/>
    <w:rsid w:val="00A45496"/>
    <w:rsid w:val="00A4596F"/>
    <w:rsid w:val="00A45C0A"/>
    <w:rsid w:val="00A467D4"/>
    <w:rsid w:val="00A469CF"/>
    <w:rsid w:val="00A46DA9"/>
    <w:rsid w:val="00A471AF"/>
    <w:rsid w:val="00A4796C"/>
    <w:rsid w:val="00A47A2F"/>
    <w:rsid w:val="00A47D19"/>
    <w:rsid w:val="00A47E74"/>
    <w:rsid w:val="00A501C9"/>
    <w:rsid w:val="00A503FB"/>
    <w:rsid w:val="00A50B6B"/>
    <w:rsid w:val="00A51044"/>
    <w:rsid w:val="00A510CE"/>
    <w:rsid w:val="00A51357"/>
    <w:rsid w:val="00A514E3"/>
    <w:rsid w:val="00A51774"/>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1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B3D"/>
    <w:rsid w:val="00AA1C83"/>
    <w:rsid w:val="00AA1DF8"/>
    <w:rsid w:val="00AA2114"/>
    <w:rsid w:val="00AA2317"/>
    <w:rsid w:val="00AA2AB2"/>
    <w:rsid w:val="00AA33A3"/>
    <w:rsid w:val="00AA3420"/>
    <w:rsid w:val="00AA3D1D"/>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801"/>
    <w:rsid w:val="00AC0AD6"/>
    <w:rsid w:val="00AC0B92"/>
    <w:rsid w:val="00AC0C5C"/>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946"/>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0B"/>
    <w:rsid w:val="00AD439D"/>
    <w:rsid w:val="00AD4899"/>
    <w:rsid w:val="00AD4CF8"/>
    <w:rsid w:val="00AD4FC0"/>
    <w:rsid w:val="00AD50E8"/>
    <w:rsid w:val="00AD51B8"/>
    <w:rsid w:val="00AD52A3"/>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3DD8"/>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742"/>
    <w:rsid w:val="00B00949"/>
    <w:rsid w:val="00B00A2F"/>
    <w:rsid w:val="00B017FB"/>
    <w:rsid w:val="00B01854"/>
    <w:rsid w:val="00B01DCB"/>
    <w:rsid w:val="00B023A9"/>
    <w:rsid w:val="00B02655"/>
    <w:rsid w:val="00B0270D"/>
    <w:rsid w:val="00B02CF5"/>
    <w:rsid w:val="00B02DA1"/>
    <w:rsid w:val="00B03303"/>
    <w:rsid w:val="00B0404F"/>
    <w:rsid w:val="00B041A9"/>
    <w:rsid w:val="00B04350"/>
    <w:rsid w:val="00B04440"/>
    <w:rsid w:val="00B04507"/>
    <w:rsid w:val="00B04B1A"/>
    <w:rsid w:val="00B04C1E"/>
    <w:rsid w:val="00B04E55"/>
    <w:rsid w:val="00B04FC2"/>
    <w:rsid w:val="00B053B9"/>
    <w:rsid w:val="00B0595C"/>
    <w:rsid w:val="00B05A03"/>
    <w:rsid w:val="00B060F4"/>
    <w:rsid w:val="00B06219"/>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84C"/>
    <w:rsid w:val="00B16978"/>
    <w:rsid w:val="00B1697C"/>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E2B"/>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0F20"/>
    <w:rsid w:val="00B31067"/>
    <w:rsid w:val="00B31620"/>
    <w:rsid w:val="00B31951"/>
    <w:rsid w:val="00B31FA6"/>
    <w:rsid w:val="00B32087"/>
    <w:rsid w:val="00B320F3"/>
    <w:rsid w:val="00B32122"/>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A5"/>
    <w:rsid w:val="00B379C7"/>
    <w:rsid w:val="00B379CE"/>
    <w:rsid w:val="00B37CC1"/>
    <w:rsid w:val="00B37E64"/>
    <w:rsid w:val="00B408B0"/>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6AD"/>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4E3"/>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3C2"/>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70"/>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1E"/>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2E73"/>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D7E04"/>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3CA"/>
    <w:rsid w:val="00BE44CF"/>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232"/>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AB9"/>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B5"/>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AF1"/>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62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6B3"/>
    <w:rsid w:val="00C2708F"/>
    <w:rsid w:val="00C27242"/>
    <w:rsid w:val="00C27BED"/>
    <w:rsid w:val="00C3060C"/>
    <w:rsid w:val="00C308E4"/>
    <w:rsid w:val="00C30EA7"/>
    <w:rsid w:val="00C31F8A"/>
    <w:rsid w:val="00C31FB1"/>
    <w:rsid w:val="00C32800"/>
    <w:rsid w:val="00C3284B"/>
    <w:rsid w:val="00C32CBC"/>
    <w:rsid w:val="00C32DFF"/>
    <w:rsid w:val="00C331F6"/>
    <w:rsid w:val="00C3320F"/>
    <w:rsid w:val="00C332B0"/>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4F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7F"/>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5C2E"/>
    <w:rsid w:val="00C760FF"/>
    <w:rsid w:val="00C76384"/>
    <w:rsid w:val="00C766F6"/>
    <w:rsid w:val="00C7690F"/>
    <w:rsid w:val="00C76CF9"/>
    <w:rsid w:val="00C76F98"/>
    <w:rsid w:val="00C76FC8"/>
    <w:rsid w:val="00C777CB"/>
    <w:rsid w:val="00C7797D"/>
    <w:rsid w:val="00C804BD"/>
    <w:rsid w:val="00C80574"/>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B50"/>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47D"/>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DF9"/>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898"/>
    <w:rsid w:val="00CF6C05"/>
    <w:rsid w:val="00CF72E9"/>
    <w:rsid w:val="00CF7319"/>
    <w:rsid w:val="00CF73E0"/>
    <w:rsid w:val="00CF7970"/>
    <w:rsid w:val="00CF79C9"/>
    <w:rsid w:val="00D00601"/>
    <w:rsid w:val="00D007CE"/>
    <w:rsid w:val="00D00DF6"/>
    <w:rsid w:val="00D01829"/>
    <w:rsid w:val="00D01A20"/>
    <w:rsid w:val="00D01F0A"/>
    <w:rsid w:val="00D01FDD"/>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0FF9"/>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245"/>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39"/>
    <w:rsid w:val="00D56E4E"/>
    <w:rsid w:val="00D56F0A"/>
    <w:rsid w:val="00D5773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C0D"/>
    <w:rsid w:val="00D71E12"/>
    <w:rsid w:val="00D721D0"/>
    <w:rsid w:val="00D72403"/>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B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23A"/>
    <w:rsid w:val="00D86390"/>
    <w:rsid w:val="00D86911"/>
    <w:rsid w:val="00D86D10"/>
    <w:rsid w:val="00D87183"/>
    <w:rsid w:val="00D87ADD"/>
    <w:rsid w:val="00D87CCF"/>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0FB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9DE"/>
    <w:rsid w:val="00DA4ADA"/>
    <w:rsid w:val="00DA4F56"/>
    <w:rsid w:val="00DA5108"/>
    <w:rsid w:val="00DA52B3"/>
    <w:rsid w:val="00DA5370"/>
    <w:rsid w:val="00DA554C"/>
    <w:rsid w:val="00DA589C"/>
    <w:rsid w:val="00DA6337"/>
    <w:rsid w:val="00DA6581"/>
    <w:rsid w:val="00DA6B41"/>
    <w:rsid w:val="00DA713C"/>
    <w:rsid w:val="00DA7770"/>
    <w:rsid w:val="00DA78E3"/>
    <w:rsid w:val="00DB038E"/>
    <w:rsid w:val="00DB045D"/>
    <w:rsid w:val="00DB0D49"/>
    <w:rsid w:val="00DB0EDF"/>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36"/>
    <w:rsid w:val="00E07F51"/>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21C"/>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445"/>
    <w:rsid w:val="00E209C7"/>
    <w:rsid w:val="00E20AE0"/>
    <w:rsid w:val="00E20B35"/>
    <w:rsid w:val="00E2120B"/>
    <w:rsid w:val="00E219A3"/>
    <w:rsid w:val="00E21D73"/>
    <w:rsid w:val="00E22B5C"/>
    <w:rsid w:val="00E22C1C"/>
    <w:rsid w:val="00E23361"/>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7FA"/>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8D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FB"/>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79B"/>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A82"/>
    <w:rsid w:val="00E55E30"/>
    <w:rsid w:val="00E5637C"/>
    <w:rsid w:val="00E5668F"/>
    <w:rsid w:val="00E56829"/>
    <w:rsid w:val="00E56887"/>
    <w:rsid w:val="00E56CC7"/>
    <w:rsid w:val="00E56F01"/>
    <w:rsid w:val="00E5768F"/>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5B"/>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44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44"/>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49F"/>
    <w:rsid w:val="00E95D12"/>
    <w:rsid w:val="00E95E8C"/>
    <w:rsid w:val="00E95EA8"/>
    <w:rsid w:val="00E963C2"/>
    <w:rsid w:val="00E9688B"/>
    <w:rsid w:val="00E96CCE"/>
    <w:rsid w:val="00E96E00"/>
    <w:rsid w:val="00E96E72"/>
    <w:rsid w:val="00E978FC"/>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2B4"/>
    <w:rsid w:val="00EB23A6"/>
    <w:rsid w:val="00EB24C8"/>
    <w:rsid w:val="00EB25E0"/>
    <w:rsid w:val="00EB3012"/>
    <w:rsid w:val="00EB31C2"/>
    <w:rsid w:val="00EB36E9"/>
    <w:rsid w:val="00EB3836"/>
    <w:rsid w:val="00EB3FCA"/>
    <w:rsid w:val="00EB41B4"/>
    <w:rsid w:val="00EB42F6"/>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58"/>
    <w:rsid w:val="00EB7C67"/>
    <w:rsid w:val="00EB7FD9"/>
    <w:rsid w:val="00EC0004"/>
    <w:rsid w:val="00EC052E"/>
    <w:rsid w:val="00EC0EE7"/>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B5E"/>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F38"/>
    <w:rsid w:val="00F102EE"/>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305"/>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846"/>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959"/>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3F2"/>
    <w:rsid w:val="00F707A9"/>
    <w:rsid w:val="00F70895"/>
    <w:rsid w:val="00F7095E"/>
    <w:rsid w:val="00F709DD"/>
    <w:rsid w:val="00F70B33"/>
    <w:rsid w:val="00F70C94"/>
    <w:rsid w:val="00F70E78"/>
    <w:rsid w:val="00F711B8"/>
    <w:rsid w:val="00F714F6"/>
    <w:rsid w:val="00F7164D"/>
    <w:rsid w:val="00F71710"/>
    <w:rsid w:val="00F7180B"/>
    <w:rsid w:val="00F71967"/>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A50"/>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9E"/>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6A"/>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0A6"/>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7D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D82"/>
    <w:rsid w:val="00FF3E2A"/>
    <w:rsid w:val="00FF4919"/>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07E2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列表段落1,¥ê¥¹¥È¶ÎÂä,1st level - Bullet List Paragraph,Lettre d'introduction,Paragrafo elenco,Normal bullet 2,Bullet list"/>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列表段落1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01472">
      <w:bodyDiv w:val="1"/>
      <w:marLeft w:val="0"/>
      <w:marRight w:val="0"/>
      <w:marTop w:val="0"/>
      <w:marBottom w:val="0"/>
      <w:divBdr>
        <w:top w:val="none" w:sz="0" w:space="0" w:color="auto"/>
        <w:left w:val="none" w:sz="0" w:space="0" w:color="auto"/>
        <w:bottom w:val="none" w:sz="0" w:space="0" w:color="auto"/>
        <w:right w:val="none" w:sz="0" w:space="0" w:color="auto"/>
      </w:divBdr>
      <w:divsChild>
        <w:div w:id="700204184">
          <w:marLeft w:val="1166"/>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29394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503673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019821">
      <w:bodyDiv w:val="1"/>
      <w:marLeft w:val="0"/>
      <w:marRight w:val="0"/>
      <w:marTop w:val="0"/>
      <w:marBottom w:val="0"/>
      <w:divBdr>
        <w:top w:val="none" w:sz="0" w:space="0" w:color="auto"/>
        <w:left w:val="none" w:sz="0" w:space="0" w:color="auto"/>
        <w:bottom w:val="none" w:sz="0" w:space="0" w:color="auto"/>
        <w:right w:val="none" w:sz="0" w:space="0" w:color="auto"/>
      </w:divBdr>
      <w:divsChild>
        <w:div w:id="438722099">
          <w:marLeft w:val="1166"/>
          <w:marRight w:val="0"/>
          <w:marTop w:val="12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32E23-8B20-4A55-9D1B-75AAB1C7F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1790</Words>
  <Characters>9686</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2019-08-16T06:57:00Z</dcterms:created>
  <dcterms:modified xsi:type="dcterms:W3CDTF">2019-08-16T06:57:00Z</dcterms:modified>
</cp:coreProperties>
</file>